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4201C5">
            <w:pPr>
              <w:suppressLineNumbers/>
              <w:jc w:val="cente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sidR="009B55C9">
                  <w:rPr>
                    <w:rFonts w:ascii="Arial" w:hAnsi="Arial" w:hint="cs"/>
                    <w:b/>
                    <w:bCs/>
                    <w:noProof w:val="0"/>
                    <w:sz w:val="32"/>
                    <w:szCs w:val="32"/>
                    <w:rtl/>
                  </w:rPr>
                  <w:t xml:space="preserve"> 3, 4</w:t>
                </w:r>
              </w:sdtContent>
            </w:sdt>
          </w:p>
        </w:tc>
      </w:tr>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3"/>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רנה הירש</w:t>
                </w:r>
              </w:sdtContent>
            </w:sdt>
          </w:p>
          <w:p w:rsidR="0094424E" w:rsidRPr="00DD05A8" w:rsidRDefault="0094424E" w:rsidP="00D44968">
            <w:pPr>
              <w:suppressLineNumbers/>
              <w:rPr>
                <w:rFonts w:ascii="Arial" w:hAnsi="Arial" w:cs="FrankRuehl"/>
                <w:sz w:val="26"/>
                <w:szCs w:val="26"/>
                <w:highlight w:val="yellow"/>
              </w:rPr>
            </w:pPr>
          </w:p>
        </w:tc>
      </w:tr>
      <w:tr w:rsidR="004201C5" w:rsidTr="004201C5">
        <w:trPr>
          <w:jc w:val="center"/>
        </w:trPr>
        <w:tc>
          <w:tcPr>
            <w:tcW w:w="3249" w:type="dxa"/>
            <w:gridSpan w:val="2"/>
          </w:tcPr>
          <w:p w:rsidR="004201C5" w:rsidRDefault="004201C5">
            <w:pPr>
              <w:suppressLineNumbers/>
              <w:rPr>
                <w:rFonts w:ascii="Arial" w:hAnsi="Arial"/>
                <w:b/>
                <w:bCs/>
                <w:noProof w:val="0"/>
                <w:sz w:val="26"/>
                <w:szCs w:val="26"/>
              </w:rPr>
            </w:pPr>
          </w:p>
          <w:sdt>
            <w:sdtPr>
              <w:rPr>
                <w:rtl/>
              </w:rPr>
              <w:alias w:val="1180"/>
              <w:tag w:val="1180"/>
              <w:id w:val="-471293279"/>
              <w:text w:multiLine="1"/>
            </w:sdtPr>
            <w:sdtEndPr/>
            <w:sdtContent>
              <w:p w:rsidR="004201C5" w:rsidRDefault="004201C5">
                <w:pPr>
                  <w:suppressLineNumbers/>
                  <w:rPr>
                    <w:rFonts w:ascii="Arial" w:hAnsi="Arial"/>
                    <w:b/>
                    <w:bCs/>
                    <w:noProof w:val="0"/>
                    <w:sz w:val="26"/>
                    <w:szCs w:val="26"/>
                  </w:rPr>
                </w:pPr>
                <w:r>
                  <w:rPr>
                    <w:rFonts w:ascii="Arial" w:hAnsi="Arial"/>
                    <w:b/>
                    <w:bCs/>
                    <w:noProof w:val="0"/>
                    <w:sz w:val="26"/>
                    <w:szCs w:val="26"/>
                    <w:rtl/>
                  </w:rPr>
                  <w:t>המבקש</w:t>
                </w:r>
              </w:p>
            </w:sdtContent>
          </w:sdt>
        </w:tc>
        <w:tc>
          <w:tcPr>
            <w:tcW w:w="5571" w:type="dxa"/>
            <w:gridSpan w:val="2"/>
          </w:tcPr>
          <w:p w:rsidR="004201C5" w:rsidRDefault="004201C5">
            <w:pPr>
              <w:suppressLineNumbers/>
              <w:rPr>
                <w:rFonts w:ascii="Arial" w:hAnsi="Arial"/>
                <w:b/>
                <w:bCs/>
                <w:noProof w:val="0"/>
                <w:sz w:val="26"/>
                <w:szCs w:val="26"/>
                <w:rtl/>
              </w:rPr>
            </w:pPr>
          </w:p>
          <w:p w:rsidR="004201C5" w:rsidRDefault="005E5255">
            <w:pPr>
              <w:suppressLineNumbers/>
              <w:rPr>
                <w:rFonts w:ascii="Arial" w:hAnsi="Arial"/>
                <w:b/>
                <w:bCs/>
                <w:noProof w:val="0"/>
                <w:sz w:val="26"/>
                <w:szCs w:val="26"/>
                <w:rtl/>
              </w:rPr>
            </w:pPr>
            <w:sdt>
              <w:sdtPr>
                <w:rPr>
                  <w:rFonts w:ascii="Arial" w:hAnsi="Arial"/>
                  <w:b/>
                  <w:bCs/>
                  <w:noProof w:val="0"/>
                  <w:sz w:val="26"/>
                  <w:szCs w:val="26"/>
                  <w:rtl/>
                </w:rPr>
                <w:alias w:val="3151"/>
                <w:tag w:val="3151"/>
                <w:id w:val="1828403941"/>
                <w:placeholder>
                  <w:docPart w:val="602206D220E54017ABC4B356BDEEF220"/>
                </w:placeholder>
                <w:text w:multiLine="1"/>
              </w:sdtPr>
              <w:sdtEndPr/>
              <w:sdtContent>
                <w:r w:rsidR="004201C5">
                  <w:rPr>
                    <w:rFonts w:ascii="Arial" w:hAnsi="Arial"/>
                    <w:b/>
                    <w:bCs/>
                    <w:noProof w:val="0"/>
                    <w:sz w:val="26"/>
                    <w:szCs w:val="26"/>
                    <w:rtl/>
                  </w:rPr>
                  <w:t>יחיאל ברזילי</w:t>
                </w:r>
              </w:sdtContent>
            </w:sdt>
            <w:r w:rsidR="004201C5">
              <w:rPr>
                <w:rtl/>
              </w:rPr>
              <w:t xml:space="preserve"> </w:t>
            </w:r>
          </w:p>
          <w:p w:rsidR="004201C5" w:rsidRDefault="004201C5">
            <w:pPr>
              <w:suppressLineNumbers/>
              <w:rPr>
                <w:rFonts w:ascii="Miriam" w:hAnsi="Miriam" w:cs="Miriam"/>
                <w:noProof w:val="0"/>
                <w:sz w:val="26"/>
                <w:szCs w:val="26"/>
                <w:rtl/>
              </w:rPr>
            </w:pPr>
            <w:r>
              <w:rPr>
                <w:rFonts w:ascii="Miriam" w:hAnsi="Miriam" w:cs="Miriam"/>
                <w:noProof w:val="0"/>
                <w:rtl/>
              </w:rPr>
              <w:t>ע"י ב"כ עוה"ד יוחי גבע</w:t>
            </w:r>
            <w:r>
              <w:rPr>
                <w:rFonts w:ascii="Miriam" w:hAnsi="Miriam" w:cs="Miriam"/>
                <w:noProof w:val="0"/>
                <w:sz w:val="26"/>
                <w:szCs w:val="26"/>
                <w:rtl/>
              </w:rPr>
              <w:t xml:space="preserve"> </w:t>
            </w:r>
          </w:p>
        </w:tc>
      </w:tr>
      <w:tr w:rsidR="004201C5" w:rsidTr="004201C5">
        <w:trPr>
          <w:jc w:val="center"/>
        </w:trPr>
        <w:tc>
          <w:tcPr>
            <w:tcW w:w="8820" w:type="dxa"/>
            <w:gridSpan w:val="4"/>
          </w:tcPr>
          <w:p w:rsidR="004201C5" w:rsidRDefault="004201C5">
            <w:pPr>
              <w:suppressLineNumbers/>
              <w:rPr>
                <w:rFonts w:ascii="Arial" w:hAnsi="Arial"/>
                <w:b/>
                <w:bCs/>
                <w:noProof w:val="0"/>
                <w:sz w:val="26"/>
                <w:szCs w:val="26"/>
              </w:rPr>
            </w:pPr>
          </w:p>
          <w:p w:rsidR="004201C5" w:rsidRDefault="004201C5">
            <w:pPr>
              <w:suppressLineNumbers/>
              <w:jc w:val="center"/>
              <w:rPr>
                <w:rFonts w:ascii="Arial" w:hAnsi="Arial"/>
                <w:b/>
                <w:bCs/>
                <w:noProof w:val="0"/>
                <w:sz w:val="26"/>
                <w:szCs w:val="26"/>
                <w:rtl/>
              </w:rPr>
            </w:pPr>
            <w:r>
              <w:rPr>
                <w:rFonts w:ascii="Arial" w:hAnsi="Arial"/>
                <w:b/>
                <w:bCs/>
                <w:noProof w:val="0"/>
                <w:sz w:val="26"/>
                <w:szCs w:val="26"/>
                <w:rtl/>
              </w:rPr>
              <w:t>נגד</w:t>
            </w:r>
          </w:p>
          <w:p w:rsidR="004201C5" w:rsidRDefault="004201C5">
            <w:pPr>
              <w:suppressLineNumbers/>
              <w:rPr>
                <w:rFonts w:ascii="Arial" w:hAnsi="Arial"/>
                <w:b/>
                <w:bCs/>
                <w:noProof w:val="0"/>
                <w:sz w:val="26"/>
                <w:szCs w:val="26"/>
                <w:rtl/>
              </w:rPr>
            </w:pPr>
          </w:p>
        </w:tc>
      </w:tr>
      <w:tr w:rsidR="004201C5" w:rsidTr="004201C5">
        <w:trPr>
          <w:jc w:val="center"/>
        </w:trPr>
        <w:tc>
          <w:tcPr>
            <w:tcW w:w="3249" w:type="dxa"/>
            <w:gridSpan w:val="2"/>
            <w:hideMark/>
          </w:tcPr>
          <w:p w:rsidR="004201C5" w:rsidRDefault="005E5255">
            <w:pPr>
              <w:suppressLineNumbers/>
              <w:rPr>
                <w:rFonts w:ascii="Arial" w:hAnsi="Arial"/>
                <w:b/>
                <w:bCs/>
                <w:noProof w:val="0"/>
                <w:sz w:val="26"/>
                <w:szCs w:val="26"/>
              </w:rPr>
            </w:pPr>
            <w:sdt>
              <w:sdtPr>
                <w:rPr>
                  <w:rtl/>
                </w:rPr>
                <w:alias w:val="1184"/>
                <w:tag w:val="1184"/>
                <w:id w:val="-1481075916"/>
                <w:text w:multiLine="1"/>
              </w:sdtPr>
              <w:sdtEndPr/>
              <w:sdtContent>
                <w:r w:rsidR="004201C5">
                  <w:rPr>
                    <w:rFonts w:ascii="Arial" w:hAnsi="Arial"/>
                    <w:b/>
                    <w:bCs/>
                    <w:noProof w:val="0"/>
                    <w:sz w:val="26"/>
                    <w:szCs w:val="26"/>
                    <w:rtl/>
                  </w:rPr>
                  <w:t>המשיבה</w:t>
                </w:r>
              </w:sdtContent>
            </w:sdt>
          </w:p>
        </w:tc>
        <w:tc>
          <w:tcPr>
            <w:tcW w:w="5571" w:type="dxa"/>
            <w:gridSpan w:val="2"/>
            <w:hideMark/>
          </w:tcPr>
          <w:p w:rsidR="004201C5" w:rsidRDefault="005E5255">
            <w:pPr>
              <w:suppressLineNumbers/>
              <w:rPr>
                <w:rFonts w:ascii="Arial" w:hAnsi="Arial"/>
                <w:b/>
                <w:bCs/>
                <w:noProof w:val="0"/>
                <w:sz w:val="26"/>
                <w:szCs w:val="26"/>
              </w:rPr>
            </w:pPr>
            <w:sdt>
              <w:sdtPr>
                <w:rPr>
                  <w:rFonts w:ascii="Arial" w:hAnsi="Arial"/>
                  <w:b/>
                  <w:bCs/>
                  <w:noProof w:val="0"/>
                  <w:sz w:val="26"/>
                  <w:szCs w:val="26"/>
                  <w:rtl/>
                </w:rPr>
                <w:alias w:val="3152"/>
                <w:tag w:val="3152"/>
                <w:id w:val="-1766057899"/>
                <w:placeholder>
                  <w:docPart w:val="F3BC004CA9EA4549BAB140912D05386A"/>
                </w:placeholder>
                <w:text w:multiLine="1"/>
              </w:sdtPr>
              <w:sdtEndPr/>
              <w:sdtContent>
                <w:r w:rsidR="004201C5">
                  <w:rPr>
                    <w:rFonts w:ascii="Arial" w:hAnsi="Arial"/>
                    <w:b/>
                    <w:bCs/>
                    <w:noProof w:val="0"/>
                    <w:sz w:val="26"/>
                    <w:szCs w:val="26"/>
                    <w:rtl/>
                  </w:rPr>
                  <w:t>אסייתיקו זיו בע"מ</w:t>
                </w:r>
              </w:sdtContent>
            </w:sdt>
            <w:r w:rsidR="004201C5">
              <w:rPr>
                <w:rtl/>
              </w:rPr>
              <w:t xml:space="preserve"> </w:t>
            </w:r>
          </w:p>
          <w:p w:rsidR="004201C5" w:rsidRPr="00530580" w:rsidRDefault="004201C5">
            <w:pPr>
              <w:suppressLineNumbers/>
              <w:rPr>
                <w:rtl/>
              </w:rPr>
            </w:pPr>
            <w:r w:rsidRPr="00E86ADC">
              <w:rPr>
                <w:rFonts w:ascii="Miriam" w:hAnsi="Miriam" w:cs="Miriam"/>
                <w:noProof w:val="0"/>
                <w:rtl/>
              </w:rPr>
              <w:t>ע"י ב"כ עוה"ד לירן שקד</w:t>
            </w:r>
          </w:p>
        </w:tc>
      </w:tr>
      <w:tr w:rsidR="00CF6BB7">
        <w:trPr>
          <w:jc w:val="center"/>
        </w:trPr>
        <w:tc>
          <w:tcPr>
            <w:tcW w:w="3249" w:type="dxa"/>
            <w:gridSpan w:val="2"/>
          </w:tcPr>
          <w:p w:rsidR="00A46717" w:rsidRPr="00272E32" w:rsidRDefault="005E5255"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gridSpan w:val="2"/>
          </w:tcPr>
          <w:p w:rsidR="00A46717" w:rsidRPr="007C2453" w:rsidRDefault="005E5255"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4"/>
          </w:tcPr>
          <w:p w:rsidR="00293921" w:rsidRDefault="00293921">
            <w:pPr>
              <w:suppressLineNumbers/>
              <w:rPr>
                <w:rFonts w:ascii="Arial" w:hAnsi="Arial"/>
                <w:b/>
                <w:bCs/>
                <w:noProof w:val="0"/>
                <w:sz w:val="26"/>
                <w:szCs w:val="26"/>
                <w:rtl/>
              </w:rPr>
            </w:pP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4201C5" w:rsidRDefault="004201C5" w:rsidP="004201C5">
            <w:pPr>
              <w:spacing w:line="276" w:lineRule="auto"/>
              <w:jc w:val="center"/>
              <w:rPr>
                <w:rFonts w:ascii="David" w:hAnsi="David"/>
                <w:sz w:val="30"/>
                <w:szCs w:val="30"/>
              </w:rPr>
            </w:pPr>
            <w:r>
              <w:rPr>
                <w:rFonts w:ascii="Arial" w:hAnsi="Arial"/>
                <w:b/>
                <w:bCs/>
                <w:noProof w:val="0"/>
                <w:sz w:val="30"/>
                <w:szCs w:val="30"/>
                <w:u w:val="single"/>
                <w:rtl/>
              </w:rPr>
              <w:t>פסק דין</w:t>
            </w:r>
            <w:r>
              <w:rPr>
                <w:rFonts w:ascii="David" w:hAnsi="David"/>
                <w:b/>
                <w:bCs/>
                <w:spacing w:val="6"/>
                <w:sz w:val="30"/>
                <w:szCs w:val="30"/>
                <w:u w:val="single"/>
                <w:rtl/>
              </w:rPr>
              <w:t xml:space="preserve"> לאישור בקשת הסתלקות מבקשה לאשר תובענה כייצוגית לפי סעיף 16 לחוק תובענות ייצוגיות, התשס"ו – 2006</w:t>
            </w:r>
          </w:p>
        </w:tc>
      </w:tr>
    </w:tbl>
    <w:p w:rsidR="009B55C9" w:rsidRDefault="009B55C9" w:rsidP="009B55C9">
      <w:pPr>
        <w:spacing w:before="240" w:line="360" w:lineRule="auto"/>
        <w:jc w:val="both"/>
        <w:rPr>
          <w:rFonts w:ascii="David" w:hAnsi="David"/>
          <w:sz w:val="25"/>
          <w:szCs w:val="25"/>
        </w:rPr>
      </w:pPr>
      <w:bookmarkStart w:id="1" w:name="NGCSBookmark"/>
      <w:bookmarkEnd w:id="1"/>
      <w:r>
        <w:rPr>
          <w:rFonts w:ascii="David" w:hAnsi="David"/>
          <w:noProof w:val="0"/>
          <w:sz w:val="25"/>
          <w:szCs w:val="25"/>
          <w:rtl/>
        </w:rPr>
        <w:t>1.</w:t>
      </w:r>
      <w:r>
        <w:rPr>
          <w:rFonts w:ascii="David" w:hAnsi="David"/>
          <w:noProof w:val="0"/>
          <w:sz w:val="25"/>
          <w:szCs w:val="25"/>
          <w:rtl/>
        </w:rPr>
        <w:tab/>
        <w:t>לפניי בקשה מוסכמת בנוגע למשיבה, להסתלקות מבקשה לאישור תובענה ייצוגית כנגד המשיבה, בהתאם לסעיף 16 לחוק תובענות ייצוגיות, התשס"ו-2006 (להלן בהתאמה:</w:t>
      </w:r>
      <w:r>
        <w:rPr>
          <w:rFonts w:ascii="David" w:hAnsi="David"/>
          <w:sz w:val="25"/>
          <w:szCs w:val="25"/>
          <w:rtl/>
        </w:rPr>
        <w:t xml:space="preserve"> </w:t>
      </w:r>
      <w:r>
        <w:rPr>
          <w:rFonts w:ascii="David" w:hAnsi="David"/>
          <w:b/>
          <w:bCs/>
          <w:sz w:val="25"/>
          <w:szCs w:val="25"/>
          <w:rtl/>
        </w:rPr>
        <w:t>המשיבה, בקשת ההסתלקות</w:t>
      </w:r>
      <w:r>
        <w:rPr>
          <w:rFonts w:ascii="David" w:hAnsi="David"/>
          <w:sz w:val="25"/>
          <w:szCs w:val="25"/>
          <w:rtl/>
        </w:rPr>
        <w:t xml:space="preserve">, </w:t>
      </w:r>
      <w:r>
        <w:rPr>
          <w:rFonts w:ascii="David" w:hAnsi="David"/>
          <w:b/>
          <w:bCs/>
          <w:sz w:val="25"/>
          <w:szCs w:val="25"/>
          <w:rtl/>
        </w:rPr>
        <w:t>בקשת האישור</w:t>
      </w:r>
      <w:r>
        <w:rPr>
          <w:rFonts w:ascii="David" w:hAnsi="David"/>
          <w:sz w:val="25"/>
          <w:szCs w:val="25"/>
          <w:rtl/>
        </w:rPr>
        <w:t xml:space="preserve"> ו- </w:t>
      </w:r>
      <w:r>
        <w:rPr>
          <w:rFonts w:ascii="David" w:hAnsi="David"/>
          <w:b/>
          <w:bCs/>
          <w:sz w:val="25"/>
          <w:szCs w:val="25"/>
          <w:rtl/>
        </w:rPr>
        <w:t>חוק תובענות ייצוגיות</w:t>
      </w:r>
      <w:r>
        <w:rPr>
          <w:rFonts w:ascii="David" w:hAnsi="David"/>
          <w:sz w:val="25"/>
          <w:szCs w:val="25"/>
          <w:rtl/>
        </w:rPr>
        <w:t>).</w:t>
      </w:r>
    </w:p>
    <w:p w:rsidR="009B55C9" w:rsidRDefault="009B55C9" w:rsidP="009B55C9">
      <w:pPr>
        <w:overflowPunct w:val="0"/>
        <w:autoSpaceDE w:val="0"/>
        <w:autoSpaceDN w:val="0"/>
        <w:adjustRightInd w:val="0"/>
        <w:spacing w:before="240" w:line="360" w:lineRule="auto"/>
        <w:textAlignment w:val="baseline"/>
        <w:rPr>
          <w:rFonts w:ascii="David" w:hAnsi="David"/>
          <w:b/>
          <w:bCs/>
          <w:sz w:val="25"/>
          <w:szCs w:val="25"/>
          <w:u w:val="single"/>
        </w:rPr>
      </w:pPr>
      <w:r>
        <w:rPr>
          <w:rFonts w:ascii="David" w:hAnsi="David"/>
          <w:b/>
          <w:bCs/>
          <w:sz w:val="25"/>
          <w:szCs w:val="25"/>
          <w:u w:val="single"/>
          <w:rtl/>
        </w:rPr>
        <w:t>טענות הצדדים בתמצית</w:t>
      </w:r>
    </w:p>
    <w:p w:rsidR="009B55C9" w:rsidRDefault="009B55C9" w:rsidP="00E4711F">
      <w:pPr>
        <w:spacing w:before="120" w:line="360" w:lineRule="auto"/>
        <w:jc w:val="both"/>
        <w:rPr>
          <w:rFonts w:ascii="David" w:hAnsi="David"/>
          <w:sz w:val="25"/>
          <w:szCs w:val="25"/>
          <w:rtl/>
        </w:rPr>
      </w:pPr>
      <w:r>
        <w:rPr>
          <w:rFonts w:ascii="David" w:hAnsi="David"/>
          <w:sz w:val="25"/>
          <w:szCs w:val="25"/>
          <w:rtl/>
        </w:rPr>
        <w:t>2.</w:t>
      </w:r>
      <w:r>
        <w:rPr>
          <w:rFonts w:ascii="David" w:hAnsi="David"/>
          <w:sz w:val="25"/>
          <w:szCs w:val="25"/>
          <w:rtl/>
        </w:rPr>
        <w:tab/>
        <w:t>עניינה של בקשת האישור בטענת המבקש, כי המשיבה, אינה ממלאה אחר הוראות הדין המחייבות הנגשה לאנשים עם מוגבלות, מפני שהיא לא הנגישה את נתב השיחות שלה בכך ש</w:t>
      </w:r>
      <w:r w:rsidR="00195380">
        <w:rPr>
          <w:rFonts w:ascii="David" w:hAnsi="David" w:hint="cs"/>
          <w:sz w:val="25"/>
          <w:szCs w:val="25"/>
          <w:rtl/>
        </w:rPr>
        <w:t xml:space="preserve">לא </w:t>
      </w:r>
      <w:r>
        <w:rPr>
          <w:rFonts w:ascii="David" w:hAnsi="David"/>
          <w:sz w:val="25"/>
          <w:szCs w:val="25"/>
          <w:rtl/>
        </w:rPr>
        <w:t>הסירה את מוסיקת הרקע מהנתב עבור אנשים עם מוגבלות בשמיעה.</w:t>
      </w:r>
      <w:r>
        <w:rPr>
          <w:rFonts w:ascii="David" w:hAnsi="David" w:hint="cs"/>
          <w:sz w:val="25"/>
          <w:szCs w:val="25"/>
          <w:rtl/>
        </w:rPr>
        <w:t xml:space="preserve"> </w:t>
      </w:r>
      <w:r>
        <w:rPr>
          <w:rFonts w:ascii="David" w:hAnsi="David"/>
          <w:sz w:val="25"/>
          <w:szCs w:val="25"/>
          <w:rtl/>
        </w:rPr>
        <w:t>לטענת המבקש, המשיבה הפרה את הוראות תקנה 33 לתקנות שוויון זכויות לאנשים עם מוגבלות (התאמת נגישות לשירות), התשע"ג-2013</w:t>
      </w:r>
      <w:r w:rsidR="00C235F0">
        <w:rPr>
          <w:rFonts w:ascii="David" w:hAnsi="David" w:hint="cs"/>
          <w:sz w:val="25"/>
          <w:szCs w:val="25"/>
          <w:rtl/>
        </w:rPr>
        <w:t>. בהתנהלו</w:t>
      </w:r>
      <w:r w:rsidR="00F83841">
        <w:rPr>
          <w:rFonts w:ascii="David" w:hAnsi="David" w:hint="cs"/>
          <w:sz w:val="25"/>
          <w:szCs w:val="25"/>
          <w:rtl/>
        </w:rPr>
        <w:t xml:space="preserve">תה </w:t>
      </w:r>
      <w:r>
        <w:rPr>
          <w:rFonts w:ascii="David" w:hAnsi="David"/>
          <w:sz w:val="25"/>
          <w:szCs w:val="25"/>
          <w:rtl/>
        </w:rPr>
        <w:t xml:space="preserve">הפרה </w:t>
      </w:r>
      <w:r w:rsidR="00F83841">
        <w:rPr>
          <w:rFonts w:ascii="David" w:hAnsi="David" w:hint="cs"/>
          <w:sz w:val="25"/>
          <w:szCs w:val="25"/>
          <w:rtl/>
        </w:rPr>
        <w:t xml:space="preserve">המשיבה גם </w:t>
      </w:r>
      <w:r>
        <w:rPr>
          <w:rFonts w:ascii="David" w:hAnsi="David"/>
          <w:sz w:val="25"/>
          <w:szCs w:val="25"/>
          <w:rtl/>
        </w:rPr>
        <w:t>את הוראות חוק שוויון זכויות לאנשים עם מוגבלות, התשנ"ח-1998.</w:t>
      </w:r>
    </w:p>
    <w:p w:rsidR="009B55C9" w:rsidRDefault="009B55C9" w:rsidP="009B55C9">
      <w:pPr>
        <w:pStyle w:val="a"/>
        <w:numPr>
          <w:ilvl w:val="0"/>
          <w:numId w:val="0"/>
        </w:numPr>
        <w:tabs>
          <w:tab w:val="left" w:pos="720"/>
        </w:tabs>
        <w:spacing w:before="240" w:after="0"/>
        <w:ind w:right="0"/>
        <w:rPr>
          <w:rFonts w:ascii="David" w:hAnsi="David"/>
          <w:spacing w:val="0"/>
          <w:sz w:val="25"/>
          <w:szCs w:val="25"/>
        </w:rPr>
      </w:pPr>
      <w:r>
        <w:rPr>
          <w:rFonts w:ascii="David" w:hAnsi="David"/>
          <w:spacing w:val="0"/>
          <w:sz w:val="25"/>
          <w:szCs w:val="25"/>
          <w:rtl/>
        </w:rPr>
        <w:t xml:space="preserve"> </w:t>
      </w:r>
      <w:r>
        <w:rPr>
          <w:rFonts w:ascii="David" w:hAnsi="David"/>
          <w:spacing w:val="0"/>
          <w:sz w:val="25"/>
          <w:szCs w:val="25"/>
          <w:rtl/>
        </w:rPr>
        <w:tab/>
        <w:t>בטרם הוגשה תשובת המשיבה לבקשת האישור הוגשה בקשת הסתלקות.</w:t>
      </w:r>
    </w:p>
    <w:p w:rsidR="009B55C9" w:rsidRDefault="009B55C9" w:rsidP="009B55C9">
      <w:pPr>
        <w:pStyle w:val="a"/>
        <w:numPr>
          <w:ilvl w:val="0"/>
          <w:numId w:val="0"/>
        </w:numPr>
        <w:tabs>
          <w:tab w:val="left" w:pos="720"/>
        </w:tabs>
        <w:spacing w:before="240" w:after="0"/>
        <w:ind w:right="0"/>
        <w:rPr>
          <w:rFonts w:ascii="David" w:hAnsi="David"/>
          <w:spacing w:val="0"/>
          <w:sz w:val="25"/>
          <w:szCs w:val="25"/>
          <w:u w:val="single"/>
          <w:rtl/>
        </w:rPr>
      </w:pPr>
      <w:r>
        <w:rPr>
          <w:rFonts w:ascii="David" w:hAnsi="David"/>
          <w:b/>
          <w:bCs/>
          <w:spacing w:val="0"/>
          <w:sz w:val="25"/>
          <w:szCs w:val="25"/>
          <w:u w:val="single"/>
          <w:rtl/>
        </w:rPr>
        <w:t>הסכמות הצדדים</w:t>
      </w:r>
    </w:p>
    <w:p w:rsidR="009B55C9" w:rsidRDefault="00F41B08" w:rsidP="00E4711F">
      <w:pPr>
        <w:pStyle w:val="a"/>
        <w:numPr>
          <w:ilvl w:val="0"/>
          <w:numId w:val="0"/>
        </w:numPr>
        <w:tabs>
          <w:tab w:val="left" w:pos="720"/>
        </w:tabs>
        <w:spacing w:before="120" w:after="0"/>
        <w:ind w:right="0"/>
        <w:rPr>
          <w:rFonts w:ascii="David" w:hAnsi="David"/>
          <w:spacing w:val="0"/>
          <w:sz w:val="25"/>
          <w:szCs w:val="25"/>
          <w:rtl/>
        </w:rPr>
      </w:pPr>
      <w:r>
        <w:rPr>
          <w:rFonts w:ascii="David" w:hAnsi="David" w:hint="cs"/>
          <w:spacing w:val="0"/>
          <w:sz w:val="25"/>
          <w:szCs w:val="25"/>
          <w:rtl/>
        </w:rPr>
        <w:t>3</w:t>
      </w:r>
      <w:r w:rsidR="009B55C9">
        <w:rPr>
          <w:rFonts w:ascii="David" w:hAnsi="David"/>
          <w:spacing w:val="0"/>
          <w:sz w:val="25"/>
          <w:szCs w:val="25"/>
          <w:rtl/>
        </w:rPr>
        <w:t>.</w:t>
      </w:r>
      <w:r w:rsidR="009B55C9">
        <w:rPr>
          <w:rFonts w:ascii="David" w:hAnsi="David"/>
          <w:spacing w:val="0"/>
          <w:sz w:val="25"/>
          <w:szCs w:val="25"/>
          <w:rtl/>
        </w:rPr>
        <w:tab/>
      </w:r>
      <w:r w:rsidR="009B55C9">
        <w:rPr>
          <w:rFonts w:ascii="David" w:hAnsi="David"/>
          <w:spacing w:val="0"/>
          <w:sz w:val="25"/>
          <w:szCs w:val="25"/>
          <w:u w:val="single"/>
          <w:rtl/>
        </w:rPr>
        <w:t>הסדרה לעתיד</w:t>
      </w:r>
      <w:r w:rsidR="009B55C9">
        <w:rPr>
          <w:rFonts w:ascii="David" w:hAnsi="David"/>
          <w:spacing w:val="0"/>
          <w:sz w:val="25"/>
          <w:szCs w:val="25"/>
          <w:rtl/>
        </w:rPr>
        <w:t xml:space="preserve"> – המשיבה התחייבה להנגיש את נתב השיחות שלה ולהסיר את מוסיקת הרקע מהנתב. בנוסף, התחייבה לר</w:t>
      </w:r>
      <w:r w:rsidR="00F83841">
        <w:rPr>
          <w:rFonts w:ascii="David" w:hAnsi="David" w:hint="cs"/>
          <w:spacing w:val="0"/>
          <w:sz w:val="25"/>
          <w:szCs w:val="25"/>
          <w:rtl/>
        </w:rPr>
        <w:t>ע</w:t>
      </w:r>
      <w:r w:rsidR="009B55C9">
        <w:rPr>
          <w:rFonts w:ascii="David" w:hAnsi="David"/>
          <w:spacing w:val="0"/>
          <w:sz w:val="25"/>
          <w:szCs w:val="25"/>
          <w:rtl/>
        </w:rPr>
        <w:t>נן ולחדד את נהליה בכל הקשור להנגשת נתב השיחות לאנשים עם מוגבלויות בדגש על כבדי שמיעה, ובהלימה מלאה להוראות הדין.</w:t>
      </w:r>
      <w:r w:rsidR="00E4711F">
        <w:rPr>
          <w:rFonts w:ascii="David" w:hAnsi="David" w:hint="cs"/>
          <w:spacing w:val="0"/>
          <w:sz w:val="25"/>
          <w:szCs w:val="25"/>
          <w:rtl/>
        </w:rPr>
        <w:t xml:space="preserve"> </w:t>
      </w:r>
      <w:r w:rsidR="009B55C9">
        <w:rPr>
          <w:rFonts w:ascii="David" w:hAnsi="David"/>
          <w:spacing w:val="0"/>
          <w:sz w:val="25"/>
          <w:szCs w:val="25"/>
          <w:rtl/>
        </w:rPr>
        <w:t>הוסכם בין הצדדים כי המבקש יסתלק מבקשת האישור נגד המשיבה, תוך דחיית תביעתו האישית נגד המשיבה.</w:t>
      </w:r>
    </w:p>
    <w:p w:rsidR="009B55C9" w:rsidRDefault="009B55C9" w:rsidP="009B55C9">
      <w:pPr>
        <w:pStyle w:val="a"/>
        <w:numPr>
          <w:ilvl w:val="0"/>
          <w:numId w:val="0"/>
        </w:numPr>
        <w:tabs>
          <w:tab w:val="left" w:pos="720"/>
        </w:tabs>
        <w:spacing w:before="240" w:after="0"/>
        <w:ind w:right="0"/>
        <w:rPr>
          <w:rFonts w:ascii="David" w:hAnsi="David"/>
          <w:b/>
          <w:bCs/>
          <w:spacing w:val="0"/>
          <w:sz w:val="25"/>
          <w:szCs w:val="25"/>
          <w:u w:val="single"/>
          <w:rtl/>
        </w:rPr>
      </w:pPr>
      <w:r>
        <w:rPr>
          <w:rFonts w:ascii="David" w:hAnsi="David"/>
          <w:b/>
          <w:bCs/>
          <w:spacing w:val="0"/>
          <w:sz w:val="25"/>
          <w:szCs w:val="25"/>
          <w:u w:val="single"/>
          <w:rtl/>
        </w:rPr>
        <w:lastRenderedPageBreak/>
        <w:t xml:space="preserve">אישור בקשת ההסתלקות </w:t>
      </w:r>
    </w:p>
    <w:p w:rsidR="009B55C9" w:rsidRDefault="00F41B08" w:rsidP="009B55C9">
      <w:pPr>
        <w:pStyle w:val="a"/>
        <w:numPr>
          <w:ilvl w:val="0"/>
          <w:numId w:val="0"/>
        </w:numPr>
        <w:tabs>
          <w:tab w:val="left" w:pos="720"/>
        </w:tabs>
        <w:spacing w:before="120" w:after="0"/>
        <w:ind w:right="0"/>
        <w:rPr>
          <w:rFonts w:ascii="David" w:hAnsi="David"/>
          <w:spacing w:val="0"/>
          <w:sz w:val="25"/>
          <w:szCs w:val="25"/>
          <w:rtl/>
        </w:rPr>
      </w:pPr>
      <w:r>
        <w:rPr>
          <w:rFonts w:ascii="David" w:hAnsi="David" w:hint="cs"/>
          <w:spacing w:val="0"/>
          <w:sz w:val="25"/>
          <w:szCs w:val="25"/>
          <w:rtl/>
        </w:rPr>
        <w:t>4</w:t>
      </w:r>
      <w:r w:rsidR="009B55C9">
        <w:rPr>
          <w:rFonts w:ascii="David" w:hAnsi="David"/>
          <w:spacing w:val="0"/>
          <w:sz w:val="25"/>
          <w:szCs w:val="25"/>
          <w:rtl/>
        </w:rPr>
        <w:t>.</w:t>
      </w:r>
      <w:r w:rsidR="009B55C9">
        <w:rPr>
          <w:rFonts w:ascii="David" w:hAnsi="David"/>
          <w:spacing w:val="0"/>
          <w:sz w:val="25"/>
          <w:szCs w:val="25"/>
          <w:rtl/>
        </w:rPr>
        <w:tab/>
        <w:t xml:space="preserve">מצאתי כי בנסיבות העניין כמפורט לעיל, יש לקבל את בקשת ההסתלקות. זאת, לאחר שהמשיבה התחייבה להנגיש את נתב השיחות שלה בכך שהיא תסיר את מוסיקת הרקע מהנתב וכן התחייבה לרענן ולחדד את נהליה בכל הקשור להנגשת נתב השיחות לאנשים עם מוגבלויות. </w:t>
      </w:r>
    </w:p>
    <w:p w:rsidR="009B55C9" w:rsidRPr="00E4711F" w:rsidRDefault="009B55C9" w:rsidP="009B55C9">
      <w:pPr>
        <w:pStyle w:val="a"/>
        <w:numPr>
          <w:ilvl w:val="0"/>
          <w:numId w:val="0"/>
        </w:numPr>
        <w:tabs>
          <w:tab w:val="left" w:pos="720"/>
        </w:tabs>
        <w:spacing w:before="240" w:after="0"/>
        <w:ind w:right="0"/>
        <w:rPr>
          <w:rFonts w:ascii="David" w:hAnsi="David"/>
          <w:b/>
          <w:bCs/>
          <w:spacing w:val="0"/>
          <w:sz w:val="25"/>
          <w:szCs w:val="25"/>
          <w:rtl/>
        </w:rPr>
      </w:pPr>
      <w:r w:rsidRPr="00E4711F">
        <w:rPr>
          <w:rFonts w:ascii="David" w:hAnsi="David"/>
          <w:b/>
          <w:bCs/>
          <w:spacing w:val="0"/>
          <w:sz w:val="25"/>
          <w:szCs w:val="25"/>
          <w:rtl/>
        </w:rPr>
        <w:t xml:space="preserve"> </w:t>
      </w:r>
      <w:r w:rsidRPr="00E4711F">
        <w:rPr>
          <w:rFonts w:ascii="David" w:hAnsi="David"/>
          <w:b/>
          <w:bCs/>
          <w:spacing w:val="0"/>
          <w:sz w:val="25"/>
          <w:szCs w:val="25"/>
          <w:rtl/>
        </w:rPr>
        <w:tab/>
        <w:t>לפיכך הבקשה לאישור תובענה ייצוגית כנגד המשיבה נמחקת, ותביעתו האישית של המבקש כנגד המשיבה נדחית.</w:t>
      </w:r>
    </w:p>
    <w:p w:rsidR="009B55C9" w:rsidRDefault="009B55C9"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t>בנסיבות העניין לא ראיתי לנכון לתת הוראות לפי סעיף 16(ד)(1) לחוק תובענות ייצוגיות וסעיף 11(ב) לתקנות תובענות ייצוגיות, התש"ע -2010 בדבר מינוי תובע מייצג או בא כוח מייצג חלופיים, או להורות על פרסום הודעה על כך.</w:t>
      </w:r>
    </w:p>
    <w:p w:rsidR="009B55C9" w:rsidRDefault="009B55C9"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b/>
          <w:bCs/>
          <w:spacing w:val="0"/>
          <w:sz w:val="25"/>
          <w:szCs w:val="25"/>
          <w:u w:val="single"/>
          <w:rtl/>
        </w:rPr>
        <w:t>גמול שכר טרחה</w:t>
      </w:r>
    </w:p>
    <w:p w:rsidR="009B55C9" w:rsidRDefault="007A1D84" w:rsidP="00E4711F">
      <w:pPr>
        <w:pStyle w:val="a"/>
        <w:numPr>
          <w:ilvl w:val="0"/>
          <w:numId w:val="0"/>
        </w:numPr>
        <w:tabs>
          <w:tab w:val="left" w:pos="720"/>
        </w:tabs>
        <w:spacing w:before="120" w:after="0"/>
        <w:ind w:right="0"/>
        <w:rPr>
          <w:rFonts w:ascii="David" w:hAnsi="David"/>
          <w:b/>
          <w:bCs/>
          <w:spacing w:val="0"/>
          <w:sz w:val="25"/>
          <w:szCs w:val="25"/>
          <w:u w:val="single"/>
          <w:rtl/>
        </w:rPr>
      </w:pPr>
      <w:r>
        <w:rPr>
          <w:rFonts w:ascii="David" w:hAnsi="David" w:hint="cs"/>
          <w:spacing w:val="0"/>
          <w:sz w:val="25"/>
          <w:szCs w:val="25"/>
          <w:rtl/>
        </w:rPr>
        <w:t>5</w:t>
      </w:r>
      <w:r w:rsidR="009B55C9">
        <w:rPr>
          <w:rFonts w:ascii="David" w:hAnsi="David"/>
          <w:spacing w:val="0"/>
          <w:sz w:val="25"/>
          <w:szCs w:val="25"/>
          <w:rtl/>
        </w:rPr>
        <w:t>.</w:t>
      </w:r>
      <w:r w:rsidR="009B55C9">
        <w:rPr>
          <w:rFonts w:ascii="David" w:hAnsi="David"/>
          <w:spacing w:val="0"/>
          <w:sz w:val="25"/>
          <w:szCs w:val="25"/>
          <w:rtl/>
        </w:rPr>
        <w:tab/>
        <w:t>הצדדים מבקשים לאשר תשלום מהמשיבה: גמול למבקש בסך 500 ₪ ותשלום שכר טרחה לב"כ המבקש בסך 6,500 ₪ בתוספת מע"מ. על פי המוסכם, תשלומים אלו ישולמו תוך 30 ימים ממועד מתן פסק הדין.</w:t>
      </w:r>
      <w:r w:rsidR="00E4711F" w:rsidRPr="00E4711F">
        <w:rPr>
          <w:rFonts w:ascii="David" w:hAnsi="David" w:hint="cs"/>
          <w:b/>
          <w:bCs/>
          <w:spacing w:val="0"/>
          <w:sz w:val="25"/>
          <w:szCs w:val="25"/>
          <w:rtl/>
        </w:rPr>
        <w:t xml:space="preserve"> </w:t>
      </w:r>
      <w:r w:rsidR="009B55C9">
        <w:rPr>
          <w:rFonts w:ascii="David" w:hAnsi="David"/>
          <w:spacing w:val="0"/>
          <w:sz w:val="25"/>
          <w:szCs w:val="25"/>
          <w:rtl/>
        </w:rPr>
        <w:t>לבקשה צורפו תצהירים לפיהם מלבד תשלום שכר הטרחה והגמול המבוקש במסגרת הסדר ההסתלקות לא תתקבל כל טובת הנאה בקשר עם ההליך או עם ההסתלקות בנוגע למשיבה בבקשה זו.</w:t>
      </w:r>
    </w:p>
    <w:p w:rsidR="009B55C9" w:rsidRDefault="007A1D84" w:rsidP="00227909">
      <w:pPr>
        <w:pStyle w:val="a"/>
        <w:numPr>
          <w:ilvl w:val="0"/>
          <w:numId w:val="0"/>
        </w:numPr>
        <w:tabs>
          <w:tab w:val="left" w:pos="720"/>
        </w:tabs>
        <w:spacing w:before="240" w:after="0"/>
        <w:ind w:right="0"/>
        <w:rPr>
          <w:rFonts w:ascii="David" w:hAnsi="David"/>
          <w:spacing w:val="0"/>
          <w:sz w:val="25"/>
          <w:szCs w:val="25"/>
          <w:rtl/>
        </w:rPr>
      </w:pPr>
      <w:r>
        <w:rPr>
          <w:rFonts w:ascii="David" w:hAnsi="David" w:hint="cs"/>
          <w:spacing w:val="0"/>
          <w:sz w:val="25"/>
          <w:szCs w:val="25"/>
          <w:rtl/>
        </w:rPr>
        <w:t>6</w:t>
      </w:r>
      <w:r w:rsidR="009B55C9">
        <w:rPr>
          <w:rFonts w:ascii="David" w:hAnsi="David"/>
          <w:spacing w:val="0"/>
          <w:sz w:val="25"/>
          <w:szCs w:val="25"/>
          <w:rtl/>
        </w:rPr>
        <w:t>.</w:t>
      </w:r>
      <w:r w:rsidR="009B55C9">
        <w:rPr>
          <w:rFonts w:ascii="David" w:hAnsi="David"/>
          <w:spacing w:val="0"/>
          <w:sz w:val="25"/>
          <w:szCs w:val="25"/>
          <w:rtl/>
        </w:rPr>
        <w:tab/>
        <w:t xml:space="preserve">נתתי דעתי לקבוע בסעיף 16(א) לחוק תובענות ייצוגיות ולרבות תיקון 10 לחוק ולמכלול השיקולים לפסיקת גמול ושכר טרחת עורך דין כפי שפורטו בע"א 8114/14 </w:t>
      </w:r>
      <w:r w:rsidR="009B55C9">
        <w:rPr>
          <w:rFonts w:ascii="David" w:hAnsi="David"/>
          <w:spacing w:val="0"/>
          <w:sz w:val="25"/>
          <w:szCs w:val="25"/>
          <w:u w:val="single"/>
          <w:rtl/>
        </w:rPr>
        <w:t>מרקיט מוצרי ייעול בע"מ נ' סונול ישראל בע"מ</w:t>
      </w:r>
      <w:r w:rsidR="009B55C9">
        <w:rPr>
          <w:rFonts w:ascii="David" w:hAnsi="David"/>
          <w:spacing w:val="0"/>
          <w:sz w:val="25"/>
          <w:szCs w:val="25"/>
          <w:rtl/>
        </w:rPr>
        <w:t xml:space="preserve"> (05.08.2018) (להלן: </w:t>
      </w:r>
      <w:r w:rsidR="009B55C9">
        <w:rPr>
          <w:rFonts w:ascii="David" w:hAnsi="David"/>
          <w:b/>
          <w:bCs/>
          <w:spacing w:val="0"/>
          <w:sz w:val="25"/>
          <w:szCs w:val="25"/>
          <w:rtl/>
        </w:rPr>
        <w:t>הלכת מרקיט</w:t>
      </w:r>
      <w:r w:rsidR="009B55C9">
        <w:rPr>
          <w:rFonts w:ascii="David" w:hAnsi="David"/>
          <w:spacing w:val="0"/>
          <w:sz w:val="25"/>
          <w:szCs w:val="25"/>
          <w:rtl/>
        </w:rPr>
        <w:t>)</w:t>
      </w:r>
      <w:r w:rsidR="00B0009A">
        <w:rPr>
          <w:rFonts w:ascii="David" w:hAnsi="David" w:hint="cs"/>
          <w:spacing w:val="0"/>
          <w:sz w:val="25"/>
          <w:szCs w:val="25"/>
          <w:rtl/>
        </w:rPr>
        <w:t>,</w:t>
      </w:r>
      <w:r w:rsidR="009B55C9">
        <w:rPr>
          <w:rFonts w:ascii="David" w:hAnsi="David"/>
          <w:spacing w:val="0"/>
          <w:sz w:val="25"/>
          <w:szCs w:val="25"/>
          <w:rtl/>
        </w:rPr>
        <w:t xml:space="preserve"> פסקה 29 לפסק דינה של כבוד השופטת ברון. לא מצאתי מקום </w:t>
      </w:r>
      <w:r w:rsidR="00227909">
        <w:rPr>
          <w:rFonts w:ascii="David" w:hAnsi="David" w:hint="cs"/>
          <w:spacing w:val="0"/>
          <w:sz w:val="25"/>
          <w:szCs w:val="25"/>
          <w:rtl/>
        </w:rPr>
        <w:t>לסטות באופן משמעותי מסכום הגמול למבקש</w:t>
      </w:r>
      <w:r w:rsidR="009B55C9">
        <w:rPr>
          <w:rFonts w:ascii="David" w:hAnsi="David"/>
          <w:spacing w:val="0"/>
          <w:sz w:val="25"/>
          <w:szCs w:val="25"/>
          <w:rtl/>
        </w:rPr>
        <w:t xml:space="preserve"> עליו הסכימו הצדדים.</w:t>
      </w:r>
    </w:p>
    <w:p w:rsidR="009B55C9" w:rsidRDefault="009B55C9"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t xml:space="preserve">עם זאת, בנסיבות ההליך דנן, </w:t>
      </w:r>
      <w:r>
        <w:rPr>
          <w:rFonts w:ascii="David" w:hAnsi="David"/>
          <w:b/>
          <w:bCs/>
          <w:spacing w:val="0"/>
          <w:sz w:val="25"/>
          <w:szCs w:val="25"/>
          <w:rtl/>
        </w:rPr>
        <w:t>אני סבורה כי הסכום עליו הסכימו הצדדים כשכ"ט עו"ד אינו מידתי ואינו הולם את ההליך, את המאמץ והטרחה ואת הצורך לעודד הסדרה בכל מקרה של פגיעה בזכויותיהם של אנשים עם מוגבלות ללא פנייה לבית המשפט</w:t>
      </w:r>
      <w:r>
        <w:rPr>
          <w:rFonts w:ascii="David" w:hAnsi="David"/>
          <w:spacing w:val="0"/>
          <w:sz w:val="25"/>
          <w:szCs w:val="25"/>
          <w:rtl/>
        </w:rPr>
        <w:t>.</w:t>
      </w:r>
      <w:r w:rsidR="00E86ADC">
        <w:rPr>
          <w:rFonts w:ascii="David" w:hAnsi="David" w:hint="cs"/>
          <w:spacing w:val="0"/>
          <w:sz w:val="25"/>
          <w:szCs w:val="25"/>
          <w:rtl/>
        </w:rPr>
        <w:t xml:space="preserve"> </w:t>
      </w:r>
    </w:p>
    <w:p w:rsidR="009B55C9" w:rsidRDefault="009B55C9"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t>אבאר את עמדתי.</w:t>
      </w:r>
    </w:p>
    <w:p w:rsidR="009B55C9" w:rsidRDefault="007A1D84" w:rsidP="00E4711F">
      <w:pPr>
        <w:pStyle w:val="a"/>
        <w:numPr>
          <w:ilvl w:val="0"/>
          <w:numId w:val="0"/>
        </w:numPr>
        <w:tabs>
          <w:tab w:val="left" w:pos="720"/>
        </w:tabs>
        <w:spacing w:before="240" w:after="0"/>
        <w:ind w:right="0"/>
        <w:rPr>
          <w:rFonts w:ascii="David" w:hAnsi="David"/>
          <w:spacing w:val="0"/>
          <w:sz w:val="25"/>
          <w:szCs w:val="25"/>
          <w:rtl/>
        </w:rPr>
      </w:pPr>
      <w:r>
        <w:rPr>
          <w:rFonts w:ascii="David" w:hAnsi="David" w:hint="cs"/>
          <w:spacing w:val="0"/>
          <w:sz w:val="25"/>
          <w:szCs w:val="25"/>
          <w:rtl/>
        </w:rPr>
        <w:t>7</w:t>
      </w:r>
      <w:r w:rsidR="009B55C9">
        <w:rPr>
          <w:rFonts w:ascii="David" w:hAnsi="David"/>
          <w:spacing w:val="0"/>
          <w:sz w:val="25"/>
          <w:szCs w:val="25"/>
          <w:rtl/>
        </w:rPr>
        <w:t>.</w:t>
      </w:r>
      <w:r w:rsidR="009B55C9">
        <w:rPr>
          <w:rFonts w:ascii="David" w:hAnsi="David"/>
          <w:spacing w:val="0"/>
          <w:sz w:val="25"/>
          <w:szCs w:val="25"/>
          <w:rtl/>
        </w:rPr>
        <w:tab/>
        <w:t xml:space="preserve">התביעה והבקשה בהליך זה הוגשו על ידי מבקש שפנה מספר לא מבוטל של פעמים לבית משפט בבקשות דומות. אדגיש כי אין בכך משום ביקורת על התנהלותו של המבקש, שרשאי לעשות למען תיקון הפגיעה בזכויותיו הקבועות בדין, כאשר הוא נתקל בהפרה מסוג זה. </w:t>
      </w:r>
      <w:r w:rsidR="00E4711F">
        <w:rPr>
          <w:rFonts w:ascii="David" w:hAnsi="David" w:hint="cs"/>
          <w:spacing w:val="0"/>
          <w:sz w:val="25"/>
          <w:szCs w:val="25"/>
          <w:rtl/>
        </w:rPr>
        <w:lastRenderedPageBreak/>
        <w:t>ע</w:t>
      </w:r>
      <w:r w:rsidR="009B55C9">
        <w:rPr>
          <w:rFonts w:ascii="David" w:hAnsi="David"/>
          <w:spacing w:val="0"/>
          <w:sz w:val="25"/>
          <w:szCs w:val="25"/>
          <w:rtl/>
        </w:rPr>
        <w:t>ם זאת, מאחר וב"כ המבקש יכול להגיש בקשות דומות בכל תיק ותיק, בתיקון והתאמה של סעיפים בודדים למשיב או משיבה קונקרטיים, לא מדובר בעבודה המחייבת חיוב הצד שכנגד בשכ"ט עו"ד בסכום הנקוב בהודעת ההסתלקות. אזכיר כי במקרה דנן, לא הוגשה תשובה ולא נדרש מב"כ המבקש לנסח תגובה לתשובה.</w:t>
      </w:r>
    </w:p>
    <w:p w:rsidR="009B55C9" w:rsidRDefault="009B55C9"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t>בפתח הבקשה לאישור התובענה כייצוגית הפנה ב"כ המבקש להליכים קודמים שבהם שאלות של עובדה או משפט דומות שהוגשו, כולן במהלך חודש אחד (מאי 2022). מדובר בבקשות דומות מאד, כולן הוגשו ע"י ב"כ המבקש וחלקן של המבקש בהליך דנן, ומכאן כי ניסוח והכנת הבקשה לאישור והתביעה לא חייבו השקעת זמן רבה במיוחד.</w:t>
      </w:r>
    </w:p>
    <w:p w:rsidR="009B55C9" w:rsidRDefault="007A1D84"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hint="cs"/>
          <w:spacing w:val="0"/>
          <w:sz w:val="25"/>
          <w:szCs w:val="25"/>
          <w:rtl/>
        </w:rPr>
        <w:t>8</w:t>
      </w:r>
      <w:r w:rsidR="009B55C9">
        <w:rPr>
          <w:rFonts w:ascii="David" w:hAnsi="David"/>
          <w:spacing w:val="0"/>
          <w:sz w:val="25"/>
          <w:szCs w:val="25"/>
          <w:rtl/>
        </w:rPr>
        <w:t>.</w:t>
      </w:r>
      <w:r w:rsidR="009B55C9">
        <w:rPr>
          <w:rFonts w:ascii="David" w:hAnsi="David"/>
          <w:spacing w:val="0"/>
          <w:sz w:val="25"/>
          <w:szCs w:val="25"/>
          <w:rtl/>
        </w:rPr>
        <w:tab/>
      </w:r>
      <w:r w:rsidR="009B55C9">
        <w:rPr>
          <w:rFonts w:ascii="David" w:hAnsi="David"/>
          <w:b/>
          <w:bCs/>
          <w:spacing w:val="0"/>
          <w:sz w:val="25"/>
          <w:szCs w:val="25"/>
          <w:rtl/>
        </w:rPr>
        <w:t>אין טענה לפיה המבקש פנה למשיבה, טרם פתיחת ההליך, והתריע בפניה על הפרת הוראות הדין והפגיעה בזכויותיו</w:t>
      </w:r>
      <w:r w:rsidR="009B55C9">
        <w:rPr>
          <w:rFonts w:ascii="David" w:hAnsi="David"/>
          <w:spacing w:val="0"/>
          <w:sz w:val="25"/>
          <w:szCs w:val="25"/>
          <w:rtl/>
        </w:rPr>
        <w:t>. במקרה כזה, היתה המשיבה מקבלת "הזדמנות" לתקן את הנדרש, והמבקש היה זכאי להוצאותיו, אם גמול ואם שכ"ט עו"ד, בגין הפנייה. אמנם, בהחלט ייתכן שאין עליו חובה לעשות כן (בעניין זה ישנה מחלוקת בפסיקה), אולם העדר הפניה אינו צריך ליצור לב"כ המבקש רווח בדמות שכ"ט העולה עשרות מונים על זה שיכול היה לקבל מהמשיבה אלמלא פנה לבית המשפט.</w:t>
      </w:r>
    </w:p>
    <w:p w:rsidR="009B55C9" w:rsidRDefault="007A1D84" w:rsidP="00227909">
      <w:pPr>
        <w:pStyle w:val="a"/>
        <w:numPr>
          <w:ilvl w:val="0"/>
          <w:numId w:val="0"/>
        </w:numPr>
        <w:tabs>
          <w:tab w:val="left" w:pos="720"/>
        </w:tabs>
        <w:spacing w:before="240" w:after="0"/>
        <w:ind w:right="0"/>
        <w:rPr>
          <w:rFonts w:ascii="David" w:hAnsi="David"/>
          <w:spacing w:val="0"/>
          <w:sz w:val="25"/>
          <w:szCs w:val="25"/>
          <w:rtl/>
        </w:rPr>
      </w:pPr>
      <w:r>
        <w:rPr>
          <w:rFonts w:ascii="David" w:hAnsi="David" w:hint="cs"/>
          <w:spacing w:val="0"/>
          <w:sz w:val="25"/>
          <w:szCs w:val="25"/>
          <w:rtl/>
        </w:rPr>
        <w:t>9</w:t>
      </w:r>
      <w:r w:rsidR="009B55C9">
        <w:rPr>
          <w:rFonts w:ascii="David" w:hAnsi="David"/>
          <w:spacing w:val="0"/>
          <w:sz w:val="25"/>
          <w:szCs w:val="25"/>
          <w:rtl/>
        </w:rPr>
        <w:t>.</w:t>
      </w:r>
      <w:r w:rsidR="009B55C9">
        <w:rPr>
          <w:rFonts w:ascii="David" w:hAnsi="David"/>
          <w:spacing w:val="0"/>
          <w:sz w:val="25"/>
          <w:szCs w:val="25"/>
          <w:rtl/>
        </w:rPr>
        <w:tab/>
        <w:t xml:space="preserve">תקנה 3(ב) </w:t>
      </w:r>
      <w:r w:rsidR="00263083">
        <w:rPr>
          <w:rFonts w:ascii="David" w:hAnsi="David" w:hint="cs"/>
          <w:spacing w:val="0"/>
          <w:sz w:val="25"/>
          <w:szCs w:val="25"/>
          <w:rtl/>
        </w:rPr>
        <w:t>ל</w:t>
      </w:r>
      <w:r w:rsidR="00263083">
        <w:rPr>
          <w:rFonts w:ascii="David" w:hAnsi="David"/>
          <w:spacing w:val="0"/>
          <w:sz w:val="25"/>
          <w:szCs w:val="25"/>
          <w:rtl/>
        </w:rPr>
        <w:t xml:space="preserve">תקנות </w:t>
      </w:r>
      <w:r w:rsidR="009B55C9">
        <w:rPr>
          <w:rFonts w:ascii="David" w:hAnsi="David"/>
          <w:spacing w:val="0"/>
          <w:sz w:val="25"/>
          <w:szCs w:val="25"/>
          <w:rtl/>
        </w:rPr>
        <w:t xml:space="preserve">סדר הדין האזרחי, התשע"ט-2018 (להלן: </w:t>
      </w:r>
      <w:r w:rsidR="009B55C9">
        <w:rPr>
          <w:rFonts w:ascii="David" w:hAnsi="David"/>
          <w:b/>
          <w:bCs/>
          <w:spacing w:val="0"/>
          <w:sz w:val="25"/>
          <w:szCs w:val="25"/>
          <w:rtl/>
        </w:rPr>
        <w:t>תקס</w:t>
      </w:r>
      <w:r w:rsidR="008E3258">
        <w:rPr>
          <w:rFonts w:ascii="David" w:hAnsi="David" w:hint="cs"/>
          <w:b/>
          <w:bCs/>
          <w:spacing w:val="0"/>
          <w:sz w:val="25"/>
          <w:szCs w:val="25"/>
          <w:rtl/>
        </w:rPr>
        <w:t>ד</w:t>
      </w:r>
      <w:r w:rsidR="009B55C9">
        <w:rPr>
          <w:rFonts w:ascii="David" w:hAnsi="David"/>
          <w:b/>
          <w:bCs/>
          <w:spacing w:val="0"/>
          <w:sz w:val="25"/>
          <w:szCs w:val="25"/>
          <w:rtl/>
        </w:rPr>
        <w:t>"א</w:t>
      </w:r>
      <w:r w:rsidR="009B55C9">
        <w:rPr>
          <w:rFonts w:ascii="David" w:hAnsi="David"/>
          <w:spacing w:val="0"/>
          <w:sz w:val="25"/>
          <w:szCs w:val="25"/>
          <w:rtl/>
        </w:rPr>
        <w:t>) קובעת את חובתם של בעלי הדין ובאי כוחם לנהוג בתום לב ובהגינות דיונית. לטעמי, פניה מקדימה – גם אם אינה מחויבת על פי הדין – נדרשת לשם מילוי התנאי של תום לב בהליך משפטי והיתה מונעת עומס מיותר על בתי המשפט (שהיו נדרשים לבקשות מסוג זה רק במידה והצדדים לא היו מגיעים להסכמה בדבר הסכומים המגיעים למבקש עבור עריכת פנייה מסודרת, באמצעות עו"ד, שהיתה מביאה ל"אכיפה אזרחית" של הוראות הדין).</w:t>
      </w:r>
    </w:p>
    <w:p w:rsidR="009B55C9" w:rsidRDefault="007A1D84" w:rsidP="00E86ADC">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1</w:t>
      </w:r>
      <w:r>
        <w:rPr>
          <w:rFonts w:ascii="David" w:hAnsi="David" w:hint="cs"/>
          <w:spacing w:val="0"/>
          <w:sz w:val="25"/>
          <w:szCs w:val="25"/>
          <w:rtl/>
        </w:rPr>
        <w:t>0</w:t>
      </w:r>
      <w:r w:rsidR="009B55C9">
        <w:rPr>
          <w:rFonts w:ascii="David" w:hAnsi="David"/>
          <w:spacing w:val="0"/>
          <w:sz w:val="25"/>
          <w:szCs w:val="25"/>
          <w:rtl/>
        </w:rPr>
        <w:t>.</w:t>
      </w:r>
      <w:r w:rsidR="009B55C9">
        <w:rPr>
          <w:rFonts w:ascii="David" w:hAnsi="David"/>
          <w:spacing w:val="0"/>
          <w:sz w:val="25"/>
          <w:szCs w:val="25"/>
          <w:rtl/>
        </w:rPr>
        <w:tab/>
        <w:t xml:space="preserve">תקנה 4 לתקסד"א אוסרת על שימוש לרעה בהליכי משפט, לרבות פעולה בלתי מידתית לאופי הדיון, לעלותו או למורכבותו. </w:t>
      </w:r>
      <w:r w:rsidR="009B55C9">
        <w:rPr>
          <w:rFonts w:ascii="David" w:hAnsi="David"/>
          <w:b/>
          <w:bCs/>
          <w:spacing w:val="0"/>
          <w:sz w:val="25"/>
          <w:szCs w:val="25"/>
          <w:rtl/>
        </w:rPr>
        <w:t>אני סבורה שלא ניתן להצדיק פתיחה בהליך משפטי ששוויו מוערך על ידי המבקש בסכום של 2,000,000 ₪, שמטרתו (המוצדקת) היא להביא לתיקון העוול ולמימוש הוראות הדין, ללא פנייה מקדימה וללא כל הגבלה על הסכומים הנפסקים כגמול ושכ"ט עו"ד. זאת, כאשר ניתן, במקרים רבים באמצעות פנייה מקדימה, להביא לאותה תוצאה ללא הגשת תביעה ובקשה</w:t>
      </w:r>
      <w:r w:rsidR="009B55C9">
        <w:rPr>
          <w:rFonts w:ascii="David" w:hAnsi="David"/>
          <w:spacing w:val="0"/>
          <w:sz w:val="25"/>
          <w:szCs w:val="25"/>
          <w:rtl/>
        </w:rPr>
        <w:t xml:space="preserve">. </w:t>
      </w:r>
    </w:p>
    <w:p w:rsidR="00B229AD" w:rsidRDefault="00B229AD" w:rsidP="00B229AD">
      <w:pPr>
        <w:pStyle w:val="a"/>
        <w:numPr>
          <w:ilvl w:val="0"/>
          <w:numId w:val="0"/>
        </w:numPr>
        <w:tabs>
          <w:tab w:val="left" w:pos="720"/>
        </w:tabs>
        <w:spacing w:before="240" w:after="0"/>
        <w:ind w:right="0"/>
        <w:rPr>
          <w:rFonts w:ascii="David" w:hAnsi="David"/>
          <w:b/>
          <w:bCs/>
          <w:spacing w:val="0"/>
          <w:sz w:val="25"/>
          <w:szCs w:val="25"/>
          <w:rtl/>
        </w:rPr>
      </w:pPr>
      <w:r>
        <w:rPr>
          <w:rFonts w:ascii="David" w:hAnsi="David"/>
          <w:spacing w:val="0"/>
          <w:sz w:val="25"/>
          <w:szCs w:val="25"/>
          <w:rtl/>
        </w:rPr>
        <w:tab/>
        <w:t xml:space="preserve">בסיפא לפסקה 30 לפסק הדין </w:t>
      </w:r>
      <w:r>
        <w:rPr>
          <w:rFonts w:ascii="David" w:hAnsi="David"/>
          <w:spacing w:val="0"/>
          <w:sz w:val="25"/>
          <w:szCs w:val="25"/>
          <w:u w:val="single"/>
          <w:rtl/>
        </w:rPr>
        <w:t>בהלכת מרקיט</w:t>
      </w:r>
      <w:r>
        <w:rPr>
          <w:rFonts w:ascii="David" w:hAnsi="David"/>
          <w:spacing w:val="0"/>
          <w:sz w:val="25"/>
          <w:szCs w:val="25"/>
          <w:rtl/>
        </w:rPr>
        <w:t xml:space="preserve"> הבהיר בית המשפט העליון כי</w:t>
      </w:r>
      <w:r>
        <w:rPr>
          <w:rFonts w:cs="Miriam"/>
          <w:spacing w:val="0"/>
          <w:sz w:val="28"/>
          <w:rtl/>
        </w:rPr>
        <w:t xml:space="preserve"> "על פניו היעדר פנייה מוקדמת עשוי להוות שיקול רלוונטי במכלול השיקולים לפסיקת גמול ושכר טרחה – וזאת באותם מקרים שבהם ברור כי אילו נעשתה פנייה כאמור, ניתן היה לחסוך את </w:t>
      </w:r>
      <w:r>
        <w:rPr>
          <w:rFonts w:cs="Miriam"/>
          <w:spacing w:val="0"/>
          <w:sz w:val="28"/>
          <w:rtl/>
        </w:rPr>
        <w:lastRenderedPageBreak/>
        <w:t xml:space="preserve">ההליך כולו." </w:t>
      </w:r>
      <w:r>
        <w:rPr>
          <w:rFonts w:ascii="David" w:hAnsi="David"/>
          <w:spacing w:val="0"/>
          <w:sz w:val="25"/>
          <w:szCs w:val="25"/>
          <w:rtl/>
        </w:rPr>
        <w:t xml:space="preserve">הוראה זו, לטעמי, נכונה בענייננו. </w:t>
      </w:r>
      <w:r>
        <w:rPr>
          <w:rFonts w:ascii="David" w:hAnsi="David"/>
          <w:b/>
          <w:bCs/>
          <w:spacing w:val="0"/>
          <w:sz w:val="25"/>
          <w:szCs w:val="25"/>
          <w:rtl/>
        </w:rPr>
        <w:tab/>
      </w:r>
    </w:p>
    <w:p w:rsidR="00B229AD" w:rsidRDefault="009B55C9" w:rsidP="00E4711F">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r>
      <w:r w:rsidRPr="00B229AD">
        <w:rPr>
          <w:rFonts w:ascii="David" w:hAnsi="David"/>
          <w:b/>
          <w:bCs/>
          <w:spacing w:val="0"/>
          <w:sz w:val="25"/>
          <w:szCs w:val="25"/>
          <w:rtl/>
        </w:rPr>
        <w:t>הגשת בקשה לאישור תובענה ייצוגית בסכום בסדר גודל כזה, עשויה "להלך אימים" על משיב, שירגיש כי הוא נמצא בסיכון (שאינו מופרך</w:t>
      </w:r>
      <w:r w:rsidR="00B229AD">
        <w:rPr>
          <w:rFonts w:ascii="David" w:hAnsi="David" w:hint="cs"/>
          <w:b/>
          <w:bCs/>
          <w:spacing w:val="0"/>
          <w:sz w:val="25"/>
          <w:szCs w:val="25"/>
          <w:rtl/>
        </w:rPr>
        <w:t xml:space="preserve"> מקום שקיימת הפרה של הוראות הדין</w:t>
      </w:r>
      <w:r w:rsidRPr="00B229AD">
        <w:rPr>
          <w:rFonts w:ascii="David" w:hAnsi="David"/>
          <w:b/>
          <w:bCs/>
          <w:spacing w:val="0"/>
          <w:sz w:val="25"/>
          <w:szCs w:val="25"/>
          <w:rtl/>
        </w:rPr>
        <w:t xml:space="preserve">) </w:t>
      </w:r>
      <w:r w:rsidR="00B229AD">
        <w:rPr>
          <w:rFonts w:ascii="David" w:hAnsi="David" w:hint="cs"/>
          <w:b/>
          <w:bCs/>
          <w:spacing w:val="0"/>
          <w:sz w:val="25"/>
          <w:szCs w:val="25"/>
          <w:rtl/>
        </w:rPr>
        <w:t>שיחויב</w:t>
      </w:r>
      <w:r w:rsidRPr="00B229AD">
        <w:rPr>
          <w:rFonts w:ascii="David" w:hAnsi="David"/>
          <w:b/>
          <w:bCs/>
          <w:spacing w:val="0"/>
          <w:sz w:val="25"/>
          <w:szCs w:val="25"/>
          <w:rtl/>
        </w:rPr>
        <w:t xml:space="preserve"> לשלם סכומי כסף </w:t>
      </w:r>
      <w:r w:rsidR="00B229AD">
        <w:rPr>
          <w:rFonts w:ascii="David" w:hAnsi="David" w:hint="cs"/>
          <w:b/>
          <w:bCs/>
          <w:spacing w:val="0"/>
          <w:sz w:val="25"/>
          <w:szCs w:val="25"/>
          <w:rtl/>
        </w:rPr>
        <w:t>עצומים (לפעמים בסדרי גודל שיביאו לקריסה כלכלית)</w:t>
      </w:r>
      <w:r w:rsidRPr="00B229AD">
        <w:rPr>
          <w:rFonts w:ascii="David" w:hAnsi="David"/>
          <w:b/>
          <w:bCs/>
          <w:spacing w:val="0"/>
          <w:sz w:val="25"/>
          <w:szCs w:val="25"/>
          <w:rtl/>
        </w:rPr>
        <w:t xml:space="preserve"> אם לצורך ייצוג משפטי בהליך ארוך וסבוך, ואם כפיצוי למבקש ולקבוצה כולה, בסיומו של ההליך. במצב זה, מסכים המשיב לשלם גמול ושכ"ט (לפי מידת "העקשנות" ויכולת המו"מ שלו או של בא-כוחו) בסכום שאין לו בהכרח קשר למידת ההשקעה או הטרחה שנגרמה.</w:t>
      </w:r>
      <w:r>
        <w:rPr>
          <w:rFonts w:ascii="David" w:hAnsi="David"/>
          <w:spacing w:val="0"/>
          <w:sz w:val="25"/>
          <w:szCs w:val="25"/>
          <w:rtl/>
        </w:rPr>
        <w:t xml:space="preserve"> </w:t>
      </w:r>
    </w:p>
    <w:p w:rsidR="009B55C9" w:rsidRDefault="00B229AD" w:rsidP="00B229AD">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r>
      <w:r w:rsidR="009B55C9">
        <w:rPr>
          <w:rFonts w:ascii="David" w:hAnsi="David"/>
          <w:spacing w:val="0"/>
          <w:sz w:val="25"/>
          <w:szCs w:val="25"/>
          <w:rtl/>
        </w:rPr>
        <w:t>לאחרונה</w:t>
      </w:r>
      <w:r>
        <w:rPr>
          <w:rFonts w:ascii="David" w:hAnsi="David" w:hint="cs"/>
          <w:spacing w:val="0"/>
          <w:sz w:val="25"/>
          <w:szCs w:val="25"/>
          <w:rtl/>
        </w:rPr>
        <w:t>,</w:t>
      </w:r>
      <w:r w:rsidR="009B55C9">
        <w:rPr>
          <w:rFonts w:ascii="David" w:hAnsi="David"/>
          <w:spacing w:val="0"/>
          <w:sz w:val="25"/>
          <w:szCs w:val="25"/>
          <w:rtl/>
        </w:rPr>
        <w:t xml:space="preserve"> מצאתי כי הליכים דומים ביותר (ואפילו משיבים שונים באותו הליך, או בקשות כמעט זהות של אותו מבקש המיוצג על ידי אותו עורך-דין) המתנהלות בפניי, מסתיימים בפסיקת סכומים שונים מהותית זה מזה ללא כל הסבר או הצדקה</w:t>
      </w:r>
      <w:r w:rsidR="009B55C9">
        <w:rPr>
          <w:rFonts w:ascii="David" w:hAnsi="David" w:hint="cs"/>
          <w:spacing w:val="0"/>
          <w:sz w:val="25"/>
          <w:szCs w:val="25"/>
          <w:rtl/>
        </w:rPr>
        <w:t>, וללא הבדל במאמץ ובזמן שמו</w:t>
      </w:r>
      <w:r w:rsidR="00FC799C">
        <w:rPr>
          <w:rFonts w:ascii="David" w:hAnsi="David" w:hint="cs"/>
          <w:spacing w:val="0"/>
          <w:sz w:val="25"/>
          <w:szCs w:val="25"/>
          <w:rtl/>
        </w:rPr>
        <w:t>ש</w:t>
      </w:r>
      <w:r w:rsidR="009B55C9">
        <w:rPr>
          <w:rFonts w:ascii="David" w:hAnsi="David" w:hint="cs"/>
          <w:spacing w:val="0"/>
          <w:sz w:val="25"/>
          <w:szCs w:val="25"/>
          <w:rtl/>
        </w:rPr>
        <w:t>קע בניסוח והגשת הבקשה והתובענה (שהן כמעט זהות בכל המקרים, למצער כשהן מוגשות על ידי אותו עו"ד)</w:t>
      </w:r>
      <w:r w:rsidR="009B55C9">
        <w:rPr>
          <w:rFonts w:ascii="David" w:hAnsi="David"/>
          <w:spacing w:val="0"/>
          <w:sz w:val="25"/>
          <w:szCs w:val="25"/>
          <w:rtl/>
        </w:rPr>
        <w:t>.</w:t>
      </w:r>
    </w:p>
    <w:p w:rsidR="009B55C9" w:rsidRDefault="007A1D84" w:rsidP="0022790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1</w:t>
      </w:r>
      <w:r>
        <w:rPr>
          <w:rFonts w:ascii="David" w:hAnsi="David" w:hint="cs"/>
          <w:spacing w:val="0"/>
          <w:sz w:val="25"/>
          <w:szCs w:val="25"/>
          <w:rtl/>
        </w:rPr>
        <w:t>1</w:t>
      </w:r>
      <w:r w:rsidR="009B55C9">
        <w:rPr>
          <w:rFonts w:ascii="David" w:hAnsi="David"/>
          <w:spacing w:val="0"/>
          <w:sz w:val="25"/>
          <w:szCs w:val="25"/>
          <w:rtl/>
        </w:rPr>
        <w:t>.</w:t>
      </w:r>
      <w:r w:rsidR="009B55C9">
        <w:rPr>
          <w:rFonts w:ascii="David" w:hAnsi="David"/>
          <w:spacing w:val="0"/>
          <w:sz w:val="25"/>
          <w:szCs w:val="25"/>
          <w:rtl/>
        </w:rPr>
        <w:tab/>
        <w:t xml:space="preserve">תקנה 5 לתקסד"א מחייבת את בית המשפט לערוך איזון אינטרסים על מנת לאפשר נגישות הציבור למערכת המשפט, קיום הליך צודק מהיר ויעיל תוך חיסכון במשאבי זמן ועלויות. העלייה "המטאורית" בכמות ההליכים הנפתחים לאישור תובענה ייצוגית בגין הפרות נטענות של הוראות הנגישות, תלויה לטעמי בקשר ישיר והדוק לעובדה שלא נשלחות התראות או פניות מקדימות טרם פתיחת ההליך (כמו גם לפטור מאגרה </w:t>
      </w:r>
      <w:r w:rsidR="008E3258">
        <w:rPr>
          <w:rFonts w:ascii="David" w:hAnsi="David"/>
          <w:spacing w:val="0"/>
          <w:sz w:val="25"/>
          <w:szCs w:val="25"/>
          <w:rtl/>
        </w:rPr>
        <w:t>הקיי</w:t>
      </w:r>
      <w:r w:rsidR="008E3258">
        <w:rPr>
          <w:rFonts w:ascii="David" w:hAnsi="David" w:hint="cs"/>
          <w:spacing w:val="0"/>
          <w:sz w:val="25"/>
          <w:szCs w:val="25"/>
          <w:rtl/>
        </w:rPr>
        <w:t>ם</w:t>
      </w:r>
      <w:r w:rsidR="008E3258">
        <w:rPr>
          <w:rFonts w:ascii="David" w:hAnsi="David"/>
          <w:spacing w:val="0"/>
          <w:sz w:val="25"/>
          <w:szCs w:val="25"/>
          <w:rtl/>
        </w:rPr>
        <w:t xml:space="preserve"> </w:t>
      </w:r>
      <w:r w:rsidR="009B55C9">
        <w:rPr>
          <w:rFonts w:ascii="David" w:hAnsi="David"/>
          <w:spacing w:val="0"/>
          <w:sz w:val="25"/>
          <w:szCs w:val="25"/>
          <w:rtl/>
        </w:rPr>
        <w:t xml:space="preserve">בסוג זה של הליכים), </w:t>
      </w:r>
      <w:r w:rsidR="008E3258">
        <w:rPr>
          <w:rFonts w:ascii="David" w:hAnsi="David" w:hint="cs"/>
          <w:spacing w:val="0"/>
          <w:sz w:val="25"/>
          <w:szCs w:val="25"/>
          <w:rtl/>
        </w:rPr>
        <w:t>ו</w:t>
      </w:r>
      <w:r w:rsidR="009B55C9">
        <w:rPr>
          <w:rFonts w:ascii="David" w:hAnsi="David"/>
          <w:spacing w:val="0"/>
          <w:sz w:val="25"/>
          <w:szCs w:val="25"/>
          <w:rtl/>
        </w:rPr>
        <w:t>גורמת לעומס בלתי מידתי על בית המשפט בכלל ועל המותב הדן בהליכים אלה בפרט.</w:t>
      </w:r>
    </w:p>
    <w:p w:rsidR="009B55C9" w:rsidRDefault="009B55C9" w:rsidP="009B55C9">
      <w:pPr>
        <w:pStyle w:val="a"/>
        <w:numPr>
          <w:ilvl w:val="0"/>
          <w:numId w:val="0"/>
        </w:numPr>
        <w:tabs>
          <w:tab w:val="left" w:pos="720"/>
        </w:tabs>
        <w:spacing w:before="240" w:after="0"/>
        <w:ind w:right="0"/>
        <w:rPr>
          <w:rFonts w:cs="Miriam"/>
          <w:spacing w:val="0"/>
          <w:sz w:val="28"/>
          <w:rtl/>
        </w:rPr>
      </w:pPr>
      <w:r>
        <w:rPr>
          <w:rFonts w:ascii="David" w:hAnsi="David"/>
          <w:spacing w:val="0"/>
          <w:sz w:val="25"/>
          <w:szCs w:val="25"/>
          <w:rtl/>
        </w:rPr>
        <w:tab/>
        <w:t xml:space="preserve">כפי שנפסק </w:t>
      </w:r>
      <w:r>
        <w:rPr>
          <w:rFonts w:ascii="David" w:hAnsi="David"/>
          <w:color w:val="000000"/>
          <w:spacing w:val="0"/>
          <w:sz w:val="25"/>
          <w:szCs w:val="25"/>
          <w:rtl/>
        </w:rPr>
        <w:t>בע"א 689/16 </w:t>
      </w:r>
      <w:r>
        <w:rPr>
          <w:rFonts w:ascii="David" w:hAnsi="David"/>
          <w:color w:val="000000"/>
          <w:spacing w:val="0"/>
          <w:sz w:val="25"/>
          <w:szCs w:val="25"/>
          <w:u w:val="single"/>
          <w:rtl/>
        </w:rPr>
        <w:t>עבדאלקאדר נסאר נ' עיר השעשועים בע"מ</w:t>
      </w:r>
      <w:r>
        <w:rPr>
          <w:rFonts w:ascii="David" w:hAnsi="David"/>
          <w:color w:val="000000"/>
          <w:spacing w:val="0"/>
          <w:sz w:val="25"/>
          <w:szCs w:val="25"/>
          <w:rtl/>
        </w:rPr>
        <w:t xml:space="preserve"> (07.05.2018): </w:t>
      </w:r>
      <w:r>
        <w:rPr>
          <w:rFonts w:cs="Miriam"/>
          <w:spacing w:val="0"/>
          <w:sz w:val="28"/>
          <w:rtl/>
        </w:rPr>
        <w:t xml:space="preserve">"על הערכאה הדיונית מוטל אפוא לעשות שימוש מושכל בכלי הגמול ושכר הטרחה, באופן שיקדם הגשתן של תובענות ייצוגיות ראויות ובה בעת ימנע מצב שבו </w:t>
      </w:r>
      <w:r>
        <w:rPr>
          <w:rFonts w:cs="Miriam"/>
          <w:b/>
          <w:bCs/>
          <w:spacing w:val="0"/>
          <w:sz w:val="28"/>
          <w:rtl/>
        </w:rPr>
        <w:t>'המרוץ לגמול ולשכר הטרחה ישטוף ויטביע את המטרה הציבורית'</w:t>
      </w:r>
      <w:r>
        <w:rPr>
          <w:rFonts w:cs="Miriam"/>
          <w:spacing w:val="0"/>
          <w:sz w:val="28"/>
          <w:rtl/>
        </w:rPr>
        <w:t xml:space="preserve"> (המשנה לנשיאה, שם). בהיבט זה, פסיקת גמול ושכר טרחה חורגת מעניינם הפרטני של הצדדים להליך וטומנת בחובה השלכות רוחב הנוגעות לתחום הייצוגי כולו".</w:t>
      </w:r>
    </w:p>
    <w:p w:rsidR="00B229AD" w:rsidRDefault="007A1D84" w:rsidP="0022790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1</w:t>
      </w:r>
      <w:r>
        <w:rPr>
          <w:rFonts w:ascii="David" w:hAnsi="David" w:hint="cs"/>
          <w:spacing w:val="0"/>
          <w:sz w:val="25"/>
          <w:szCs w:val="25"/>
          <w:rtl/>
        </w:rPr>
        <w:t>2</w:t>
      </w:r>
      <w:r w:rsidR="009B55C9">
        <w:rPr>
          <w:rFonts w:ascii="David" w:hAnsi="David"/>
          <w:spacing w:val="0"/>
          <w:sz w:val="25"/>
          <w:szCs w:val="25"/>
          <w:rtl/>
        </w:rPr>
        <w:t>.</w:t>
      </w:r>
      <w:r w:rsidR="009B55C9">
        <w:rPr>
          <w:rFonts w:ascii="David" w:hAnsi="David"/>
          <w:spacing w:val="0"/>
          <w:sz w:val="25"/>
          <w:szCs w:val="25"/>
          <w:rtl/>
        </w:rPr>
        <w:tab/>
        <w:t>ידוע לי כי מותבים רבים בבתי משפט שונים מאשרים את הסכמות הצדדים הנוגעות לסכומי הגמול ושכ"ט עו"ד גם בסכומים משמעותיים, בלא ביקורת את התערבות. כך גם אני נהגתי בעבר במספר מקרים. עם זאת, נחשפתי לאחרונה, בשל העלי</w:t>
      </w:r>
      <w:r w:rsidR="00B229AD">
        <w:rPr>
          <w:rFonts w:ascii="David" w:hAnsi="David" w:hint="cs"/>
          <w:spacing w:val="0"/>
          <w:sz w:val="25"/>
          <w:szCs w:val="25"/>
          <w:rtl/>
        </w:rPr>
        <w:t>י</w:t>
      </w:r>
      <w:r w:rsidR="009B55C9">
        <w:rPr>
          <w:rFonts w:ascii="David" w:hAnsi="David"/>
          <w:spacing w:val="0"/>
          <w:sz w:val="25"/>
          <w:szCs w:val="25"/>
          <w:rtl/>
        </w:rPr>
        <w:t xml:space="preserve">ה העצומה במספר הבקשות לאישור תובענות ייצוגיות המגיעות לטיפולי, </w:t>
      </w:r>
      <w:r w:rsidR="003410E3">
        <w:rPr>
          <w:rFonts w:ascii="David" w:hAnsi="David" w:hint="cs"/>
          <w:spacing w:val="0"/>
          <w:sz w:val="25"/>
          <w:szCs w:val="25"/>
          <w:rtl/>
        </w:rPr>
        <w:t>ל</w:t>
      </w:r>
      <w:r w:rsidR="003410E3">
        <w:rPr>
          <w:rFonts w:ascii="David" w:hAnsi="David"/>
          <w:spacing w:val="0"/>
          <w:sz w:val="25"/>
          <w:szCs w:val="25"/>
          <w:rtl/>
        </w:rPr>
        <w:t xml:space="preserve">בקשות </w:t>
      </w:r>
      <w:r w:rsidR="009B55C9">
        <w:rPr>
          <w:rFonts w:ascii="David" w:hAnsi="David"/>
          <w:spacing w:val="0"/>
          <w:sz w:val="25"/>
          <w:szCs w:val="25"/>
          <w:rtl/>
        </w:rPr>
        <w:t xml:space="preserve">רבות להסתלקות מתוגמלת. </w:t>
      </w:r>
    </w:p>
    <w:p w:rsidR="009B55C9" w:rsidRDefault="00B229AD" w:rsidP="00E86ADC">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lastRenderedPageBreak/>
        <w:tab/>
      </w:r>
      <w:r w:rsidR="009B55C9">
        <w:rPr>
          <w:rFonts w:ascii="David" w:hAnsi="David"/>
          <w:spacing w:val="0"/>
          <w:sz w:val="25"/>
          <w:szCs w:val="25"/>
          <w:rtl/>
        </w:rPr>
        <w:t xml:space="preserve">מצאתי כי מדובר בסכומי שכ"ט עו"ד הנעים בין 4,000 ₪ ל- 14,000 ₪ ואף מעבר לכך, בהליכים הנוגעים לעובדות וטענות משפטיות דומות (ולפעמים אף זהות, של אותם מבקשים ואותם באי-כח). </w:t>
      </w:r>
      <w:r w:rsidR="00031FE3">
        <w:rPr>
          <w:rFonts w:ascii="David" w:hAnsi="David" w:hint="cs"/>
          <w:spacing w:val="0"/>
          <w:sz w:val="25"/>
          <w:szCs w:val="25"/>
          <w:rtl/>
        </w:rPr>
        <w:t>עלול להיווצר</w:t>
      </w:r>
      <w:r w:rsidR="00031FE3">
        <w:rPr>
          <w:rFonts w:ascii="David" w:hAnsi="David"/>
          <w:spacing w:val="0"/>
          <w:sz w:val="25"/>
          <w:szCs w:val="25"/>
          <w:rtl/>
        </w:rPr>
        <w:t xml:space="preserve"> </w:t>
      </w:r>
      <w:r w:rsidR="009B55C9">
        <w:rPr>
          <w:rFonts w:ascii="David" w:hAnsi="David"/>
          <w:spacing w:val="0"/>
          <w:sz w:val="25"/>
          <w:szCs w:val="25"/>
          <w:rtl/>
        </w:rPr>
        <w:t xml:space="preserve">הרושם כי המטרה העיקרית של ההליכים – אפילו אם לא הבלעדית – היא הגמול ושכ"ט עוה"ד המשולם במסגרת הודעת ההסתלקות. </w:t>
      </w:r>
    </w:p>
    <w:p w:rsidR="00E4711F" w:rsidRDefault="009B55C9" w:rsidP="00E4711F">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t xml:space="preserve">הבקשה לאישור וההסכם בדבר הסתלקות מתוגמלת מניבים </w:t>
      </w:r>
      <w:r w:rsidR="00E4711F">
        <w:rPr>
          <w:rFonts w:ascii="David" w:hAnsi="David" w:hint="cs"/>
          <w:spacing w:val="0"/>
          <w:sz w:val="25"/>
          <w:szCs w:val="25"/>
          <w:rtl/>
        </w:rPr>
        <w:t>תועלת מסוימת</w:t>
      </w:r>
      <w:r>
        <w:rPr>
          <w:rFonts w:ascii="David" w:hAnsi="David"/>
          <w:spacing w:val="0"/>
          <w:sz w:val="25"/>
          <w:szCs w:val="25"/>
          <w:rtl/>
        </w:rPr>
        <w:t xml:space="preserve"> לקבוצה כתוצאה מתיקון הליקוי ביישום הוראות הדין שהביאה להגשת הבקשה</w:t>
      </w:r>
      <w:r w:rsidR="00E4711F">
        <w:rPr>
          <w:rFonts w:ascii="David" w:hAnsi="David" w:hint="cs"/>
          <w:spacing w:val="0"/>
          <w:sz w:val="25"/>
          <w:szCs w:val="25"/>
          <w:rtl/>
        </w:rPr>
        <w:t>. עם זאת, וכפי שהובהר לעיל</w:t>
      </w:r>
      <w:r>
        <w:rPr>
          <w:rFonts w:ascii="David" w:hAnsi="David"/>
          <w:spacing w:val="0"/>
          <w:sz w:val="25"/>
          <w:szCs w:val="25"/>
          <w:rtl/>
        </w:rPr>
        <w:t xml:space="preserve">, תוצאה זהה עשויה להתקבל לאחר פנייה מקדימה ללא צורך בהליך משפטי. </w:t>
      </w:r>
      <w:r w:rsidR="00031FE3">
        <w:rPr>
          <w:rFonts w:ascii="David" w:hAnsi="David" w:hint="cs"/>
          <w:spacing w:val="0"/>
          <w:sz w:val="25"/>
          <w:szCs w:val="25"/>
          <w:rtl/>
        </w:rPr>
        <w:t>מכל מקום</w:t>
      </w:r>
      <w:r>
        <w:rPr>
          <w:rFonts w:ascii="David" w:hAnsi="David"/>
          <w:spacing w:val="0"/>
          <w:sz w:val="25"/>
          <w:szCs w:val="25"/>
          <w:rtl/>
        </w:rPr>
        <w:t>, אין בכך כדי להצדיק את סכומי הגמול – לעתים סכומים משמעותיים – המשולמים למבקשים ומעבר לכך, סכומי כסף גבוהים המועברים ל</w:t>
      </w:r>
      <w:r w:rsidR="00E4711F">
        <w:rPr>
          <w:rFonts w:ascii="David" w:hAnsi="David" w:hint="cs"/>
          <w:spacing w:val="0"/>
          <w:sz w:val="25"/>
          <w:szCs w:val="25"/>
          <w:rtl/>
        </w:rPr>
        <w:t xml:space="preserve">עוה"ד המייצג את </w:t>
      </w:r>
      <w:r>
        <w:rPr>
          <w:rFonts w:ascii="David" w:hAnsi="David"/>
          <w:spacing w:val="0"/>
          <w:sz w:val="25"/>
          <w:szCs w:val="25"/>
          <w:rtl/>
        </w:rPr>
        <w:t>המבקש כשכ"ט עו"ד</w:t>
      </w:r>
      <w:r w:rsidR="007F5B69">
        <w:rPr>
          <w:rFonts w:ascii="David" w:hAnsi="David" w:hint="cs"/>
          <w:spacing w:val="0"/>
          <w:sz w:val="25"/>
          <w:szCs w:val="25"/>
          <w:rtl/>
        </w:rPr>
        <w:t xml:space="preserve">. </w:t>
      </w:r>
    </w:p>
    <w:p w:rsidR="009B55C9" w:rsidRDefault="00E4711F" w:rsidP="00E86ADC">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r>
      <w:r w:rsidR="007F5B69">
        <w:rPr>
          <w:rFonts w:ascii="David" w:hAnsi="David" w:hint="cs"/>
          <w:spacing w:val="0"/>
          <w:sz w:val="25"/>
          <w:szCs w:val="25"/>
          <w:rtl/>
        </w:rPr>
        <w:t>שיקולים אלה</w:t>
      </w:r>
      <w:r w:rsidR="009B55C9">
        <w:rPr>
          <w:rFonts w:ascii="David" w:hAnsi="David"/>
          <w:spacing w:val="0"/>
          <w:sz w:val="25"/>
          <w:szCs w:val="25"/>
          <w:rtl/>
        </w:rPr>
        <w:t xml:space="preserve"> הוביל</w:t>
      </w:r>
      <w:r w:rsidR="007F5B69">
        <w:rPr>
          <w:rFonts w:ascii="David" w:hAnsi="David" w:hint="cs"/>
          <w:spacing w:val="0"/>
          <w:sz w:val="25"/>
          <w:szCs w:val="25"/>
          <w:rtl/>
        </w:rPr>
        <w:t>ו</w:t>
      </w:r>
      <w:r w:rsidR="009B55C9">
        <w:rPr>
          <w:rFonts w:ascii="David" w:hAnsi="David"/>
          <w:spacing w:val="0"/>
          <w:sz w:val="25"/>
          <w:szCs w:val="25"/>
          <w:rtl/>
        </w:rPr>
        <w:t xml:space="preserve"> אותי למסקנה שלא ניתן לקבל התנהלות כזו כדבר שבשגרה, בהעדר טעמים המצדיקים פסיקת סכומים משמעותיים (</w:t>
      </w:r>
      <w:r w:rsidR="00B229AD">
        <w:rPr>
          <w:rFonts w:ascii="David" w:hAnsi="David" w:hint="cs"/>
          <w:spacing w:val="0"/>
          <w:sz w:val="25"/>
          <w:szCs w:val="25"/>
          <w:rtl/>
        </w:rPr>
        <w:t xml:space="preserve">כמו לדוגמא במקרים של </w:t>
      </w:r>
      <w:r w:rsidR="009B55C9">
        <w:rPr>
          <w:rFonts w:ascii="David" w:hAnsi="David"/>
          <w:spacing w:val="0"/>
          <w:sz w:val="25"/>
          <w:szCs w:val="25"/>
          <w:rtl/>
        </w:rPr>
        <w:t xml:space="preserve">ניהול ההליך, מחלוקת ממשית בשאלה של עובדה או משפט, התעלמות מפניה מקדימה </w:t>
      </w:r>
      <w:r w:rsidR="00B229AD">
        <w:rPr>
          <w:rFonts w:ascii="David" w:hAnsi="David" w:hint="cs"/>
          <w:spacing w:val="0"/>
          <w:sz w:val="25"/>
          <w:szCs w:val="25"/>
          <w:rtl/>
        </w:rPr>
        <w:t>וכיו"</w:t>
      </w:r>
      <w:r w:rsidR="00B229AD">
        <w:rPr>
          <w:rFonts w:ascii="David" w:hAnsi="David" w:hint="eastAsia"/>
          <w:spacing w:val="0"/>
          <w:sz w:val="25"/>
          <w:szCs w:val="25"/>
          <w:rtl/>
        </w:rPr>
        <w:t>ב</w:t>
      </w:r>
      <w:r w:rsidR="009B55C9">
        <w:rPr>
          <w:rFonts w:ascii="David" w:hAnsi="David"/>
          <w:spacing w:val="0"/>
          <w:sz w:val="25"/>
          <w:szCs w:val="25"/>
          <w:rtl/>
        </w:rPr>
        <w:t>).</w:t>
      </w:r>
    </w:p>
    <w:p w:rsidR="009B55C9" w:rsidRDefault="007A1D84" w:rsidP="00E86ADC">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1</w:t>
      </w:r>
      <w:r>
        <w:rPr>
          <w:rFonts w:ascii="David" w:hAnsi="David" w:hint="cs"/>
          <w:spacing w:val="0"/>
          <w:sz w:val="25"/>
          <w:szCs w:val="25"/>
          <w:rtl/>
        </w:rPr>
        <w:t>3</w:t>
      </w:r>
      <w:r w:rsidR="009B55C9">
        <w:rPr>
          <w:rFonts w:ascii="David" w:hAnsi="David"/>
          <w:spacing w:val="0"/>
          <w:sz w:val="25"/>
          <w:szCs w:val="25"/>
          <w:rtl/>
        </w:rPr>
        <w:t>.</w:t>
      </w:r>
      <w:r w:rsidR="009B55C9">
        <w:rPr>
          <w:rFonts w:ascii="David" w:hAnsi="David"/>
          <w:spacing w:val="0"/>
          <w:sz w:val="25"/>
          <w:szCs w:val="25"/>
          <w:rtl/>
        </w:rPr>
        <w:tab/>
        <w:t xml:space="preserve">ניתן למצוא החלטות שונות, בבתי משפט שלום ומחוזיים, בהן מובהר כי יש </w:t>
      </w:r>
      <w:r w:rsidR="009B55C9">
        <w:rPr>
          <w:rFonts w:ascii="David" w:hAnsi="David"/>
          <w:b/>
          <w:bCs/>
          <w:spacing w:val="0"/>
          <w:sz w:val="25"/>
          <w:szCs w:val="25"/>
          <w:rtl/>
        </w:rPr>
        <w:t xml:space="preserve">לשקול הפחתת הגמול ו/או את שכ"ט עו"ד הנפסק במסגרת הודעת הסתלקות מתוגמלת </w:t>
      </w:r>
      <w:r w:rsidR="007F5B69">
        <w:rPr>
          <w:rFonts w:ascii="David" w:hAnsi="David" w:hint="cs"/>
          <w:b/>
          <w:bCs/>
          <w:spacing w:val="0"/>
          <w:sz w:val="25"/>
          <w:szCs w:val="25"/>
          <w:rtl/>
        </w:rPr>
        <w:t>כ</w:t>
      </w:r>
      <w:r w:rsidR="009B55C9">
        <w:rPr>
          <w:rFonts w:ascii="David" w:hAnsi="David"/>
          <w:b/>
          <w:bCs/>
          <w:spacing w:val="0"/>
          <w:sz w:val="25"/>
          <w:szCs w:val="25"/>
          <w:rtl/>
        </w:rPr>
        <w:t>שלא קדמה להגשת התביעה פנייה מקדימה</w:t>
      </w:r>
      <w:r w:rsidR="009B55C9">
        <w:rPr>
          <w:rFonts w:ascii="David" w:hAnsi="David"/>
          <w:spacing w:val="0"/>
          <w:sz w:val="25"/>
          <w:szCs w:val="25"/>
          <w:rtl/>
        </w:rPr>
        <w:t xml:space="preserve">: ר' למשל ת"צ (מחוזי מרכז-לוד) 36086-07-11 </w:t>
      </w:r>
      <w:r w:rsidR="009B55C9">
        <w:rPr>
          <w:rFonts w:ascii="David" w:hAnsi="David"/>
          <w:spacing w:val="0"/>
          <w:sz w:val="25"/>
          <w:szCs w:val="25"/>
          <w:u w:val="single"/>
          <w:rtl/>
        </w:rPr>
        <w:t>עו״ד אסף חרסט נ' ידיעות אינטרנט (שותפות רשומה)</w:t>
      </w:r>
      <w:r w:rsidR="009B55C9">
        <w:rPr>
          <w:rFonts w:ascii="David" w:hAnsi="David"/>
          <w:spacing w:val="0"/>
          <w:sz w:val="25"/>
          <w:szCs w:val="25"/>
          <w:rtl/>
        </w:rPr>
        <w:t xml:space="preserve"> (19.09.2012) פסקה 28; ת"צ (מחוזי ת"א) 49026-07-22 </w:t>
      </w:r>
      <w:r w:rsidR="009B55C9">
        <w:rPr>
          <w:rFonts w:ascii="David" w:hAnsi="David"/>
          <w:spacing w:val="0"/>
          <w:sz w:val="25"/>
          <w:szCs w:val="25"/>
          <w:u w:val="single"/>
          <w:rtl/>
        </w:rPr>
        <w:t>דינה מלמד נ' מחלבת משק דותן בע"מ</w:t>
      </w:r>
      <w:r w:rsidR="009B55C9">
        <w:rPr>
          <w:rFonts w:ascii="David" w:hAnsi="David"/>
          <w:spacing w:val="0"/>
          <w:sz w:val="25"/>
          <w:szCs w:val="25"/>
          <w:rtl/>
        </w:rPr>
        <w:t xml:space="preserve"> (09.10.2022) פסקאות 12-15; ת"צ (מחוזי ת"א) 50119-06-21 </w:t>
      </w:r>
      <w:r w:rsidR="009B55C9">
        <w:rPr>
          <w:rFonts w:ascii="David" w:hAnsi="David"/>
          <w:spacing w:val="0"/>
          <w:sz w:val="25"/>
          <w:szCs w:val="25"/>
          <w:u w:val="single"/>
          <w:rtl/>
        </w:rPr>
        <w:t>יוחאי יחיא דוק נ' שרותי בנזין וסיכה בישראל בע"מ</w:t>
      </w:r>
      <w:r w:rsidR="009B55C9">
        <w:rPr>
          <w:rFonts w:ascii="David" w:hAnsi="David"/>
          <w:spacing w:val="0"/>
          <w:sz w:val="25"/>
          <w:szCs w:val="25"/>
          <w:rtl/>
        </w:rPr>
        <w:t xml:space="preserve"> (19.10.2022); ת"צ (מחוזי ת"א) 44858-06-22 </w:t>
      </w:r>
      <w:r w:rsidR="009B55C9">
        <w:rPr>
          <w:rFonts w:ascii="David" w:hAnsi="David"/>
          <w:spacing w:val="0"/>
          <w:sz w:val="25"/>
          <w:szCs w:val="25"/>
          <w:u w:val="single"/>
          <w:rtl/>
        </w:rPr>
        <w:t>רגינה ברזילי נ' נווה התבלין בע"מ</w:t>
      </w:r>
      <w:r w:rsidR="009B55C9">
        <w:rPr>
          <w:rFonts w:ascii="David" w:hAnsi="David"/>
          <w:spacing w:val="0"/>
          <w:sz w:val="25"/>
          <w:szCs w:val="25"/>
          <w:rtl/>
        </w:rPr>
        <w:t xml:space="preserve"> (03.11.2022) פסקה 7; ת"צ (מחוזי ת"א) 71602-10-21 </w:t>
      </w:r>
      <w:r w:rsidR="009B55C9">
        <w:rPr>
          <w:rFonts w:ascii="David" w:hAnsi="David"/>
          <w:spacing w:val="0"/>
          <w:sz w:val="25"/>
          <w:szCs w:val="25"/>
          <w:u w:val="single"/>
          <w:rtl/>
        </w:rPr>
        <w:t>שמעון אלבאז נ' וואלט אנטרפריזס ישראל בע"מ</w:t>
      </w:r>
      <w:r w:rsidR="009B55C9">
        <w:rPr>
          <w:rFonts w:ascii="David" w:hAnsi="David"/>
          <w:spacing w:val="0"/>
          <w:sz w:val="25"/>
          <w:szCs w:val="25"/>
          <w:rtl/>
        </w:rPr>
        <w:t xml:space="preserve"> (19.12.2022); ת"צ (מחוזי ת"א) 60678-09-22 </w:t>
      </w:r>
      <w:r w:rsidR="009B55C9">
        <w:rPr>
          <w:rFonts w:ascii="David" w:hAnsi="David"/>
          <w:spacing w:val="0"/>
          <w:sz w:val="25"/>
          <w:szCs w:val="25"/>
          <w:u w:val="single"/>
          <w:rtl/>
        </w:rPr>
        <w:t>דינה מלמד נ' ג.חיון שיווק ואספקה בע"מ</w:t>
      </w:r>
      <w:r w:rsidR="009B55C9">
        <w:rPr>
          <w:rFonts w:ascii="David" w:hAnsi="David"/>
          <w:spacing w:val="0"/>
          <w:sz w:val="25"/>
          <w:szCs w:val="25"/>
          <w:rtl/>
        </w:rPr>
        <w:t xml:space="preserve"> (15.05.2023); ת"צ (שלום ירושלים) 41221-02-23 </w:t>
      </w:r>
      <w:r w:rsidR="009B55C9">
        <w:rPr>
          <w:rFonts w:ascii="David" w:hAnsi="David"/>
          <w:spacing w:val="0"/>
          <w:sz w:val="25"/>
          <w:szCs w:val="25"/>
          <w:u w:val="single"/>
          <w:rtl/>
        </w:rPr>
        <w:t>אירינה רבינוביץ נ' כורזין מלונאות ושירותים</w:t>
      </w:r>
      <w:r w:rsidR="009B55C9">
        <w:rPr>
          <w:rFonts w:ascii="David" w:hAnsi="David"/>
          <w:b/>
          <w:bCs/>
          <w:color w:val="000000"/>
          <w:spacing w:val="0"/>
          <w:sz w:val="27"/>
          <w:szCs w:val="27"/>
          <w:u w:val="single"/>
          <w:rtl/>
        </w:rPr>
        <w:t xml:space="preserve"> </w:t>
      </w:r>
      <w:r w:rsidR="009B55C9">
        <w:rPr>
          <w:rFonts w:ascii="David" w:hAnsi="David"/>
          <w:spacing w:val="0"/>
          <w:sz w:val="25"/>
          <w:szCs w:val="25"/>
          <w:u w:val="single"/>
          <w:rtl/>
        </w:rPr>
        <w:t>בע"מ</w:t>
      </w:r>
      <w:r w:rsidR="009B55C9">
        <w:rPr>
          <w:rFonts w:ascii="David" w:hAnsi="David"/>
          <w:spacing w:val="0"/>
          <w:sz w:val="25"/>
          <w:szCs w:val="25"/>
          <w:rtl/>
        </w:rPr>
        <w:t xml:space="preserve"> (01.06.2023); </w:t>
      </w:r>
    </w:p>
    <w:p w:rsidR="009B55C9" w:rsidRDefault="009B55C9" w:rsidP="009B55C9">
      <w:pPr>
        <w:pStyle w:val="a"/>
        <w:numPr>
          <w:ilvl w:val="0"/>
          <w:numId w:val="0"/>
        </w:numPr>
        <w:tabs>
          <w:tab w:val="left" w:pos="720"/>
        </w:tabs>
        <w:spacing w:before="240" w:after="0"/>
        <w:ind w:right="0"/>
        <w:rPr>
          <w:rFonts w:ascii="David" w:hAnsi="David"/>
          <w:spacing w:val="0"/>
          <w:sz w:val="25"/>
          <w:szCs w:val="25"/>
          <w:rtl/>
        </w:rPr>
      </w:pPr>
      <w:r>
        <w:rPr>
          <w:rFonts w:ascii="David" w:hAnsi="David"/>
          <w:spacing w:val="0"/>
          <w:sz w:val="25"/>
          <w:szCs w:val="25"/>
          <w:rtl/>
        </w:rPr>
        <w:tab/>
        <w:t xml:space="preserve">בהחלטות אחרות, נקבע כי </w:t>
      </w:r>
      <w:r>
        <w:rPr>
          <w:rFonts w:ascii="David" w:hAnsi="David"/>
          <w:b/>
          <w:bCs/>
          <w:spacing w:val="0"/>
          <w:sz w:val="25"/>
          <w:szCs w:val="25"/>
          <w:rtl/>
        </w:rPr>
        <w:t>בהעדר פניה מקדימה</w:t>
      </w:r>
      <w:r>
        <w:rPr>
          <w:rFonts w:ascii="David" w:hAnsi="David"/>
          <w:spacing w:val="0"/>
          <w:sz w:val="25"/>
          <w:szCs w:val="25"/>
          <w:rtl/>
        </w:rPr>
        <w:t xml:space="preserve"> במקרים כדוגמת העילה שבבסיס ההליך דנן, אין לפסוק כל גמול או שכ"ט עו"ד במסגרת הודעת הסתלקות. כך למשל: ת"צ (מחוזי ת"א) 24597-10-22 </w:t>
      </w:r>
      <w:r>
        <w:rPr>
          <w:rFonts w:ascii="David" w:hAnsi="David"/>
          <w:spacing w:val="0"/>
          <w:sz w:val="25"/>
          <w:szCs w:val="25"/>
          <w:u w:val="single"/>
          <w:rtl/>
        </w:rPr>
        <w:t>חיים סרור נ' אריאל רום השקעות בע"מ</w:t>
      </w:r>
      <w:r>
        <w:rPr>
          <w:rFonts w:ascii="David" w:hAnsi="David"/>
          <w:spacing w:val="0"/>
          <w:sz w:val="25"/>
          <w:szCs w:val="25"/>
          <w:rtl/>
        </w:rPr>
        <w:t xml:space="preserve"> (08.12.2022); ת"צ (שלום ראשל"צ) 71589-03-23 </w:t>
      </w:r>
      <w:r>
        <w:rPr>
          <w:rFonts w:ascii="David" w:hAnsi="David"/>
          <w:spacing w:val="0"/>
          <w:sz w:val="25"/>
          <w:szCs w:val="25"/>
          <w:u w:val="single"/>
          <w:rtl/>
        </w:rPr>
        <w:t>יחיאל ברזילי נ' סקייל קול בע"מ</w:t>
      </w:r>
      <w:r>
        <w:rPr>
          <w:rFonts w:ascii="David" w:hAnsi="David"/>
          <w:spacing w:val="0"/>
          <w:sz w:val="25"/>
          <w:szCs w:val="25"/>
          <w:rtl/>
        </w:rPr>
        <w:t xml:space="preserve"> (11.06.2023); ת"צ (שלום ראשל"צ) 7890-05-23 </w:t>
      </w:r>
      <w:r>
        <w:rPr>
          <w:rFonts w:ascii="David" w:hAnsi="David"/>
          <w:spacing w:val="0"/>
          <w:sz w:val="25"/>
          <w:szCs w:val="25"/>
          <w:u w:val="single"/>
          <w:rtl/>
        </w:rPr>
        <w:t>רוית עוזרי חגי נ' קניון רפאלי 2002 בע"מ</w:t>
      </w:r>
      <w:r>
        <w:rPr>
          <w:rFonts w:ascii="David" w:hAnsi="David"/>
          <w:spacing w:val="0"/>
          <w:sz w:val="25"/>
          <w:szCs w:val="25"/>
          <w:rtl/>
        </w:rPr>
        <w:t> (14.06.2023);</w:t>
      </w:r>
    </w:p>
    <w:p w:rsidR="009B55C9" w:rsidRPr="00E86ADC" w:rsidRDefault="007A1D84" w:rsidP="00227909">
      <w:pPr>
        <w:pStyle w:val="a"/>
        <w:numPr>
          <w:ilvl w:val="0"/>
          <w:numId w:val="0"/>
        </w:numPr>
        <w:tabs>
          <w:tab w:val="left" w:pos="720"/>
        </w:tabs>
        <w:spacing w:before="240" w:after="0"/>
        <w:ind w:right="0"/>
        <w:rPr>
          <w:rFonts w:ascii="David" w:hAnsi="David"/>
          <w:b/>
          <w:bCs/>
          <w:spacing w:val="0"/>
          <w:sz w:val="25"/>
          <w:szCs w:val="25"/>
          <w:rtl/>
        </w:rPr>
      </w:pPr>
      <w:r w:rsidRPr="00227909">
        <w:rPr>
          <w:rFonts w:ascii="David" w:hAnsi="David"/>
          <w:spacing w:val="0"/>
          <w:sz w:val="25"/>
          <w:szCs w:val="25"/>
          <w:rtl/>
        </w:rPr>
        <w:t>1</w:t>
      </w:r>
      <w:r w:rsidRPr="00227909">
        <w:rPr>
          <w:rFonts w:ascii="David" w:hAnsi="David" w:hint="cs"/>
          <w:spacing w:val="0"/>
          <w:sz w:val="25"/>
          <w:szCs w:val="25"/>
          <w:rtl/>
        </w:rPr>
        <w:t>4</w:t>
      </w:r>
      <w:r w:rsidR="009B55C9" w:rsidRPr="00227909">
        <w:rPr>
          <w:rFonts w:ascii="David" w:hAnsi="David"/>
          <w:spacing w:val="0"/>
          <w:sz w:val="25"/>
          <w:szCs w:val="25"/>
          <w:rtl/>
        </w:rPr>
        <w:t>.</w:t>
      </w:r>
      <w:r w:rsidR="009B55C9" w:rsidRPr="00227909">
        <w:rPr>
          <w:rFonts w:ascii="David" w:hAnsi="David"/>
          <w:spacing w:val="0"/>
          <w:sz w:val="25"/>
          <w:szCs w:val="25"/>
          <w:rtl/>
        </w:rPr>
        <w:tab/>
        <w:t xml:space="preserve">לנוכח כל המפורט לעיל, </w:t>
      </w:r>
      <w:r w:rsidR="009B55C9" w:rsidRPr="00E4711F">
        <w:rPr>
          <w:rFonts w:ascii="David" w:hAnsi="David"/>
          <w:b/>
          <w:bCs/>
          <w:spacing w:val="0"/>
          <w:sz w:val="25"/>
          <w:szCs w:val="25"/>
          <w:rtl/>
        </w:rPr>
        <w:t>מצאתי לנכון להפחית את הגמול למבקש ואת שכר הטרחה לבא כוחו, מהסכומים המוסכמים כמפורט לעיל.</w:t>
      </w:r>
      <w:r w:rsidR="009B55C9" w:rsidRPr="00E86ADC">
        <w:rPr>
          <w:rFonts w:ascii="David" w:hAnsi="David"/>
          <w:spacing w:val="0"/>
          <w:sz w:val="25"/>
          <w:szCs w:val="25"/>
          <w:rtl/>
        </w:rPr>
        <w:t xml:space="preserve"> </w:t>
      </w:r>
      <w:r w:rsidR="009B55C9" w:rsidRPr="00E86ADC">
        <w:rPr>
          <w:rFonts w:ascii="David" w:hAnsi="David"/>
          <w:b/>
          <w:bCs/>
          <w:spacing w:val="0"/>
          <w:sz w:val="25"/>
          <w:szCs w:val="25"/>
          <w:rtl/>
        </w:rPr>
        <w:t xml:space="preserve">אני מקווה כי החלטה זו, והחלטות דומות </w:t>
      </w:r>
      <w:r w:rsidR="009B55C9" w:rsidRPr="00E86ADC">
        <w:rPr>
          <w:rFonts w:ascii="David" w:hAnsi="David"/>
          <w:b/>
          <w:bCs/>
          <w:spacing w:val="0"/>
          <w:sz w:val="25"/>
          <w:szCs w:val="25"/>
          <w:rtl/>
        </w:rPr>
        <w:lastRenderedPageBreak/>
        <w:t xml:space="preserve">אחרות, יהוו עידוד למבקשים ותמריץ ליזום פנייה מקדימה להגשת בקשה לאישור תובענה כייצוגית, ובכך </w:t>
      </w:r>
      <w:r w:rsidR="00F41B08" w:rsidRPr="00E86ADC">
        <w:rPr>
          <w:rFonts w:ascii="David" w:hAnsi="David" w:hint="cs"/>
          <w:b/>
          <w:bCs/>
          <w:spacing w:val="0"/>
          <w:sz w:val="25"/>
          <w:szCs w:val="25"/>
          <w:rtl/>
        </w:rPr>
        <w:t>לה</w:t>
      </w:r>
      <w:r w:rsidR="00F41B08" w:rsidRPr="00E86ADC">
        <w:rPr>
          <w:rFonts w:ascii="David" w:hAnsi="David"/>
          <w:b/>
          <w:bCs/>
          <w:spacing w:val="0"/>
          <w:sz w:val="25"/>
          <w:szCs w:val="25"/>
          <w:rtl/>
        </w:rPr>
        <w:t xml:space="preserve">ביא </w:t>
      </w:r>
      <w:r w:rsidR="009B55C9" w:rsidRPr="00E86ADC">
        <w:rPr>
          <w:rFonts w:ascii="David" w:hAnsi="David"/>
          <w:b/>
          <w:bCs/>
          <w:spacing w:val="0"/>
          <w:sz w:val="25"/>
          <w:szCs w:val="25"/>
          <w:rtl/>
        </w:rPr>
        <w:t xml:space="preserve">לחיסכון בזמן שיפוטי, באפשרות לדון בהליכים ובקשות רבות אחרות הממתינות להכרעה, להתייעלות </w:t>
      </w:r>
      <w:r w:rsidR="00A41351" w:rsidRPr="00E86ADC">
        <w:rPr>
          <w:rFonts w:ascii="David" w:hAnsi="David" w:hint="cs"/>
          <w:b/>
          <w:bCs/>
          <w:spacing w:val="0"/>
          <w:sz w:val="25"/>
          <w:szCs w:val="25"/>
          <w:rtl/>
        </w:rPr>
        <w:t>ולשמירה על</w:t>
      </w:r>
      <w:r w:rsidR="009B55C9" w:rsidRPr="00E86ADC">
        <w:rPr>
          <w:rFonts w:ascii="David" w:hAnsi="David"/>
          <w:b/>
          <w:bCs/>
          <w:spacing w:val="0"/>
          <w:sz w:val="25"/>
          <w:szCs w:val="25"/>
          <w:rtl/>
        </w:rPr>
        <w:t xml:space="preserve"> </w:t>
      </w:r>
      <w:r w:rsidR="00F41B08" w:rsidRPr="00E86ADC">
        <w:rPr>
          <w:rFonts w:ascii="David" w:hAnsi="David" w:hint="cs"/>
          <w:b/>
          <w:bCs/>
          <w:spacing w:val="0"/>
          <w:sz w:val="25"/>
          <w:szCs w:val="25"/>
          <w:rtl/>
        </w:rPr>
        <w:t>ה</w:t>
      </w:r>
      <w:r w:rsidR="009B55C9" w:rsidRPr="00E86ADC">
        <w:rPr>
          <w:rFonts w:ascii="David" w:hAnsi="David"/>
          <w:b/>
          <w:bCs/>
          <w:spacing w:val="0"/>
          <w:sz w:val="25"/>
          <w:szCs w:val="25"/>
          <w:rtl/>
        </w:rPr>
        <w:t>אינטרס הציבור כולו, לרבות הציבור שתקנות הנגישות באות להגן עליו.</w:t>
      </w:r>
    </w:p>
    <w:p w:rsidR="009B55C9" w:rsidRPr="00E86ADC" w:rsidRDefault="009B55C9" w:rsidP="009B55C9">
      <w:pPr>
        <w:pStyle w:val="a"/>
        <w:numPr>
          <w:ilvl w:val="0"/>
          <w:numId w:val="0"/>
        </w:numPr>
        <w:tabs>
          <w:tab w:val="left" w:pos="720"/>
        </w:tabs>
        <w:spacing w:before="240" w:after="0"/>
        <w:ind w:right="0"/>
        <w:rPr>
          <w:rFonts w:ascii="David" w:hAnsi="David"/>
          <w:b/>
          <w:bCs/>
          <w:spacing w:val="0"/>
          <w:sz w:val="25"/>
          <w:szCs w:val="25"/>
          <w:u w:val="single"/>
          <w:rtl/>
        </w:rPr>
      </w:pPr>
      <w:r w:rsidRPr="00E86ADC">
        <w:rPr>
          <w:rFonts w:ascii="David" w:hAnsi="David"/>
          <w:b/>
          <w:bCs/>
          <w:spacing w:val="0"/>
          <w:sz w:val="25"/>
          <w:szCs w:val="25"/>
          <w:u w:val="single"/>
          <w:rtl/>
        </w:rPr>
        <w:t>סוף דבר</w:t>
      </w:r>
    </w:p>
    <w:p w:rsidR="009B55C9" w:rsidRPr="00A41351" w:rsidRDefault="007A1D84" w:rsidP="00227909">
      <w:pPr>
        <w:pStyle w:val="a"/>
        <w:numPr>
          <w:ilvl w:val="0"/>
          <w:numId w:val="0"/>
        </w:numPr>
        <w:tabs>
          <w:tab w:val="left" w:pos="720"/>
        </w:tabs>
        <w:spacing w:before="120" w:after="0"/>
        <w:ind w:right="0"/>
        <w:rPr>
          <w:rFonts w:ascii="David" w:hAnsi="David"/>
          <w:spacing w:val="0"/>
          <w:sz w:val="25"/>
          <w:szCs w:val="25"/>
          <w:rtl/>
        </w:rPr>
      </w:pPr>
      <w:r w:rsidRPr="00E86ADC">
        <w:rPr>
          <w:rFonts w:ascii="David" w:hAnsi="David"/>
          <w:spacing w:val="0"/>
          <w:sz w:val="25"/>
          <w:szCs w:val="25"/>
          <w:rtl/>
        </w:rPr>
        <w:t>1</w:t>
      </w:r>
      <w:r w:rsidRPr="00E86ADC">
        <w:rPr>
          <w:rFonts w:ascii="David" w:hAnsi="David" w:hint="cs"/>
          <w:spacing w:val="0"/>
          <w:sz w:val="25"/>
          <w:szCs w:val="25"/>
          <w:rtl/>
        </w:rPr>
        <w:t>5</w:t>
      </w:r>
      <w:r w:rsidR="009B55C9" w:rsidRPr="00E86ADC">
        <w:rPr>
          <w:rFonts w:ascii="David" w:hAnsi="David"/>
          <w:spacing w:val="0"/>
          <w:sz w:val="25"/>
          <w:szCs w:val="25"/>
          <w:rtl/>
        </w:rPr>
        <w:t>.</w:t>
      </w:r>
      <w:r w:rsidR="009B55C9" w:rsidRPr="00E86ADC">
        <w:rPr>
          <w:rFonts w:ascii="David" w:hAnsi="David"/>
          <w:spacing w:val="0"/>
          <w:sz w:val="25"/>
          <w:szCs w:val="25"/>
          <w:rtl/>
        </w:rPr>
        <w:tab/>
        <w:t xml:space="preserve">אני מאשרת את בקשת ההסתלקות </w:t>
      </w:r>
      <w:r w:rsidR="009B55C9" w:rsidRPr="00E86ADC">
        <w:rPr>
          <w:rFonts w:ascii="David" w:hAnsi="David"/>
          <w:b/>
          <w:bCs/>
          <w:spacing w:val="0"/>
          <w:sz w:val="25"/>
          <w:szCs w:val="25"/>
          <w:rtl/>
        </w:rPr>
        <w:t>בהפחתת הסכו</w:t>
      </w:r>
      <w:r w:rsidR="00A41351" w:rsidRPr="00E86ADC">
        <w:rPr>
          <w:rFonts w:ascii="David" w:hAnsi="David" w:hint="cs"/>
          <w:b/>
          <w:bCs/>
          <w:spacing w:val="0"/>
          <w:sz w:val="25"/>
          <w:szCs w:val="25"/>
          <w:rtl/>
        </w:rPr>
        <w:t xml:space="preserve">מים המוסכמים כגמול ושכ"ט. אני </w:t>
      </w:r>
      <w:r w:rsidR="00A41351" w:rsidRPr="00E86ADC">
        <w:rPr>
          <w:rFonts w:ascii="David" w:hAnsi="David" w:hint="eastAsia"/>
          <w:b/>
          <w:bCs/>
          <w:spacing w:val="0"/>
          <w:sz w:val="25"/>
          <w:szCs w:val="25"/>
          <w:rtl/>
        </w:rPr>
        <w:t>מעמידה</w:t>
      </w:r>
      <w:r w:rsidR="00A41351" w:rsidRPr="00E86ADC">
        <w:rPr>
          <w:rFonts w:ascii="David" w:hAnsi="David"/>
          <w:b/>
          <w:bCs/>
          <w:spacing w:val="0"/>
          <w:sz w:val="25"/>
          <w:szCs w:val="25"/>
          <w:rtl/>
        </w:rPr>
        <w:t xml:space="preserve"> </w:t>
      </w:r>
      <w:r w:rsidR="00A41351" w:rsidRPr="00E86ADC">
        <w:rPr>
          <w:rFonts w:ascii="David" w:hAnsi="David" w:hint="eastAsia"/>
          <w:b/>
          <w:bCs/>
          <w:spacing w:val="0"/>
          <w:sz w:val="25"/>
          <w:szCs w:val="25"/>
          <w:rtl/>
        </w:rPr>
        <w:t>את</w:t>
      </w:r>
      <w:r w:rsidR="00A41351" w:rsidRPr="00E86ADC">
        <w:rPr>
          <w:rFonts w:ascii="David" w:hAnsi="David"/>
          <w:b/>
          <w:bCs/>
          <w:spacing w:val="0"/>
          <w:sz w:val="25"/>
          <w:szCs w:val="25"/>
          <w:rtl/>
        </w:rPr>
        <w:t xml:space="preserve"> </w:t>
      </w:r>
      <w:r w:rsidR="00A41351" w:rsidRPr="00E86ADC">
        <w:rPr>
          <w:rFonts w:ascii="David" w:hAnsi="David" w:hint="eastAsia"/>
          <w:b/>
          <w:bCs/>
          <w:spacing w:val="0"/>
          <w:sz w:val="25"/>
          <w:szCs w:val="25"/>
          <w:rtl/>
        </w:rPr>
        <w:t>הגמול</w:t>
      </w:r>
      <w:r w:rsidR="009B55C9" w:rsidRPr="00E86ADC">
        <w:rPr>
          <w:rFonts w:ascii="David" w:hAnsi="David"/>
          <w:b/>
          <w:bCs/>
          <w:spacing w:val="0"/>
          <w:sz w:val="25"/>
          <w:szCs w:val="25"/>
          <w:rtl/>
        </w:rPr>
        <w:t xml:space="preserve"> </w:t>
      </w:r>
      <w:r w:rsidR="00A41351" w:rsidRPr="00E86ADC">
        <w:rPr>
          <w:rFonts w:ascii="David" w:hAnsi="David" w:hint="eastAsia"/>
          <w:b/>
          <w:bCs/>
          <w:spacing w:val="0"/>
          <w:sz w:val="25"/>
          <w:szCs w:val="25"/>
          <w:rtl/>
        </w:rPr>
        <w:t>ל</w:t>
      </w:r>
      <w:r w:rsidR="009B55C9" w:rsidRPr="00E86ADC">
        <w:rPr>
          <w:rFonts w:ascii="David" w:hAnsi="David"/>
          <w:b/>
          <w:bCs/>
          <w:spacing w:val="0"/>
          <w:sz w:val="25"/>
          <w:szCs w:val="25"/>
          <w:rtl/>
        </w:rPr>
        <w:t>מבקש</w:t>
      </w:r>
      <w:r w:rsidR="009B55C9" w:rsidRPr="00E86ADC">
        <w:rPr>
          <w:rFonts w:ascii="David" w:hAnsi="David"/>
          <w:spacing w:val="0"/>
          <w:sz w:val="25"/>
          <w:szCs w:val="25"/>
          <w:rtl/>
        </w:rPr>
        <w:t xml:space="preserve"> </w:t>
      </w:r>
      <w:r w:rsidR="00A41351" w:rsidRPr="00E86ADC">
        <w:rPr>
          <w:rFonts w:ascii="David" w:hAnsi="David" w:hint="eastAsia"/>
          <w:spacing w:val="0"/>
          <w:sz w:val="25"/>
          <w:szCs w:val="25"/>
          <w:rtl/>
        </w:rPr>
        <w:t>על</w:t>
      </w:r>
      <w:r w:rsidR="00A41351" w:rsidRPr="00E86ADC">
        <w:rPr>
          <w:rFonts w:ascii="David" w:hAnsi="David"/>
          <w:spacing w:val="0"/>
          <w:sz w:val="25"/>
          <w:szCs w:val="25"/>
          <w:rtl/>
        </w:rPr>
        <w:t xml:space="preserve"> </w:t>
      </w:r>
      <w:r w:rsidR="009B55C9" w:rsidRPr="00E86ADC">
        <w:rPr>
          <w:rFonts w:ascii="David" w:hAnsi="David"/>
          <w:spacing w:val="0"/>
          <w:sz w:val="25"/>
          <w:szCs w:val="25"/>
          <w:rtl/>
        </w:rPr>
        <w:t>סך של 400 ₪ ואת שכ"ט עו</w:t>
      </w:r>
      <w:r w:rsidR="00A41351" w:rsidRPr="00E86ADC">
        <w:rPr>
          <w:rFonts w:ascii="David" w:hAnsi="David" w:hint="cs"/>
          <w:spacing w:val="0"/>
          <w:sz w:val="25"/>
          <w:szCs w:val="25"/>
          <w:rtl/>
        </w:rPr>
        <w:t>ה</w:t>
      </w:r>
      <w:r w:rsidR="00A41351" w:rsidRPr="00E86ADC">
        <w:rPr>
          <w:rFonts w:ascii="David" w:hAnsi="David"/>
          <w:spacing w:val="0"/>
          <w:sz w:val="25"/>
          <w:szCs w:val="25"/>
          <w:rtl/>
        </w:rPr>
        <w:t xml:space="preserve">"ד </w:t>
      </w:r>
      <w:r w:rsidR="00A41351" w:rsidRPr="00E86ADC">
        <w:rPr>
          <w:rFonts w:ascii="David" w:hAnsi="David" w:hint="cs"/>
          <w:spacing w:val="0"/>
          <w:sz w:val="25"/>
          <w:szCs w:val="25"/>
          <w:rtl/>
        </w:rPr>
        <w:t xml:space="preserve">על </w:t>
      </w:r>
      <w:r w:rsidR="009B55C9" w:rsidRPr="00E86ADC">
        <w:rPr>
          <w:rFonts w:ascii="David" w:hAnsi="David"/>
          <w:spacing w:val="0"/>
          <w:sz w:val="25"/>
          <w:szCs w:val="25"/>
          <w:rtl/>
        </w:rPr>
        <w:t>סך של 2,000 ₪.</w:t>
      </w:r>
      <w:r w:rsidR="009B55C9" w:rsidRPr="00A41351">
        <w:rPr>
          <w:rFonts w:ascii="David" w:hAnsi="David"/>
          <w:spacing w:val="0"/>
          <w:sz w:val="25"/>
          <w:szCs w:val="25"/>
          <w:rtl/>
        </w:rPr>
        <w:t xml:space="preserve"> </w:t>
      </w:r>
    </w:p>
    <w:p w:rsidR="009B55C9" w:rsidRPr="00A41351" w:rsidRDefault="009B55C9" w:rsidP="009B55C9">
      <w:pPr>
        <w:pStyle w:val="a"/>
        <w:numPr>
          <w:ilvl w:val="0"/>
          <w:numId w:val="0"/>
        </w:numPr>
        <w:tabs>
          <w:tab w:val="left" w:pos="720"/>
        </w:tabs>
        <w:spacing w:before="240" w:after="0"/>
        <w:ind w:right="0"/>
        <w:rPr>
          <w:rFonts w:ascii="David" w:hAnsi="David"/>
          <w:spacing w:val="0"/>
          <w:sz w:val="25"/>
          <w:szCs w:val="25"/>
          <w:rtl/>
        </w:rPr>
      </w:pPr>
      <w:r w:rsidRPr="00A41351">
        <w:rPr>
          <w:rFonts w:ascii="David" w:hAnsi="David"/>
          <w:spacing w:val="0"/>
          <w:sz w:val="25"/>
          <w:szCs w:val="25"/>
          <w:rtl/>
        </w:rPr>
        <w:tab/>
        <w:t xml:space="preserve">אני מורה על מחיקת הבקשה לאישור התביעה כתביעה ייצוגית כנגד המשיבה ללא מינוי תובע ייצוגי חלופי וללא פרסום, ועל דחיית התביעה האישית של המבקש כנגד המשיבה.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יולי 2023</w:t>
          </w:r>
        </w:sdtContent>
      </w:sdt>
      <w:r w:rsidR="00005C8B">
        <w:rPr>
          <w:rFonts w:ascii="Arial" w:hAnsi="Arial"/>
          <w:noProof w:val="0"/>
          <w:rtl/>
        </w:rPr>
        <w:t>, בהעדר הצדדים.</w:t>
      </w:r>
    </w:p>
    <w:p w:rsidR="00C43648" w:rsidRDefault="005E525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256672"/>
        </w:sdtPr>
        <w:sdtEndPr/>
        <w:sdtContent>
          <w:r w:rsidR="007B4928">
            <w:drawing>
              <wp:inline distT="0" distB="0" distL="0" distR="0" wp14:editId="50D07946">
                <wp:extent cx="1874520" cy="4846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74520" cy="484631"/>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255" w:rsidRDefault="005E5255">
      <w:r>
        <w:separator/>
      </w:r>
    </w:p>
  </w:endnote>
  <w:endnote w:type="continuationSeparator" w:id="0">
    <w:p w:rsidR="005E5255" w:rsidRDefault="005E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A" w:rsidRDefault="00D124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F37D02">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F37D02">
      <w:rPr>
        <w:rStyle w:val="ac"/>
        <w:rtl/>
      </w:rPr>
      <w:t>6</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A" w:rsidRDefault="00D124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255" w:rsidRDefault="005E5255">
      <w:r>
        <w:separator/>
      </w:r>
    </w:p>
  </w:footnote>
  <w:footnote w:type="continuationSeparator" w:id="0">
    <w:p w:rsidR="005E5255" w:rsidRDefault="005E5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A" w:rsidRDefault="00D1241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3"/>
      <w:gridCol w:w="351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E86ADC">
          <w:pPr>
            <w:pStyle w:val="a4"/>
            <w:jc w:val="right"/>
            <w:rPr>
              <w:b/>
              <w:bCs/>
              <w:noProof w:val="0"/>
              <w:sz w:val="26"/>
              <w:szCs w:val="26"/>
              <w:rtl/>
            </w:rPr>
          </w:pPr>
          <w:r>
            <w:rPr>
              <w:rFonts w:hint="cs"/>
              <w:b/>
              <w:bCs/>
              <w:noProof w:val="0"/>
              <w:sz w:val="26"/>
              <w:szCs w:val="26"/>
              <w:rtl/>
            </w:rPr>
            <w:t>10 יולי 2023</w:t>
          </w:r>
        </w:p>
      </w:tc>
    </w:tr>
    <w:tr w:rsidR="00694556">
      <w:trPr>
        <w:trHeight w:val="337"/>
        <w:jc w:val="center"/>
      </w:trPr>
      <w:tc>
        <w:tcPr>
          <w:tcW w:w="8721" w:type="dxa"/>
          <w:gridSpan w:val="2"/>
        </w:tcPr>
        <w:p w:rsidR="007D45E3" w:rsidRDefault="005E5255"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ת"צ</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40399-05-23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9B55C9">
                <w:rPr>
                  <w:rFonts w:hint="cs"/>
                  <w:b/>
                  <w:bCs/>
                  <w:noProof w:val="0"/>
                  <w:sz w:val="26"/>
                  <w:szCs w:val="26"/>
                  <w:rtl/>
                </w:rPr>
                <w:t xml:space="preserve">יחיאל </w:t>
              </w:r>
              <w:r w:rsidR="00B859C5">
                <w:rPr>
                  <w:b/>
                  <w:bCs/>
                  <w:noProof w:val="0"/>
                  <w:sz w:val="26"/>
                  <w:szCs w:val="26"/>
                  <w:rtl/>
                </w:rPr>
                <w:t>ברזילי נ' אסייתיקו זיו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9B55C9" w:rsidP="007D45E3">
          <w:pPr>
            <w:rPr>
              <w:sz w:val="20"/>
              <w:szCs w:val="20"/>
              <w:rtl/>
            </w:rPr>
          </w:pPr>
          <w:r>
            <w:rPr>
              <w:rFonts w:hint="cs"/>
              <w:sz w:val="20"/>
              <w:szCs w:val="20"/>
              <w:rtl/>
            </w:rPr>
            <w:t xml:space="preserve"> </w:t>
          </w:r>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1A" w:rsidRDefault="00D124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259A2"/>
    <w:multiLevelType w:val="hybridMultilevel"/>
    <w:tmpl w:val="E52A0230"/>
    <w:lvl w:ilvl="0" w:tplc="19A4EBAE">
      <w:start w:val="1"/>
      <w:numFmt w:val="decimal"/>
      <w:pStyle w:val="a"/>
      <w:lvlText w:val="%1."/>
      <w:lvlJc w:val="left"/>
      <w:pPr>
        <w:tabs>
          <w:tab w:val="num" w:pos="8"/>
        </w:tabs>
        <w:ind w:left="720" w:hanging="360"/>
      </w:pPr>
      <w:rPr>
        <w:rFonts w:cs="David"/>
        <w:b w:val="0"/>
        <w:bCs w:val="0"/>
      </w:rPr>
    </w:lvl>
    <w:lvl w:ilvl="1" w:tplc="39C6E660">
      <w:start w:val="1"/>
      <w:numFmt w:val="lowerLetter"/>
      <w:lvlText w:val="%2."/>
      <w:lvlJc w:val="left"/>
      <w:pPr>
        <w:tabs>
          <w:tab w:val="num" w:pos="1440"/>
        </w:tabs>
        <w:ind w:left="1440" w:hanging="360"/>
      </w:pPr>
      <w:rPr>
        <w:rFonts w:cs="Times New Roman"/>
      </w:rPr>
    </w:lvl>
    <w:lvl w:ilvl="2" w:tplc="B86E074A">
      <w:start w:val="1"/>
      <w:numFmt w:val="lowerRoman"/>
      <w:lvlText w:val="%3."/>
      <w:lvlJc w:val="right"/>
      <w:pPr>
        <w:tabs>
          <w:tab w:val="num" w:pos="2160"/>
        </w:tabs>
        <w:ind w:left="2160" w:hanging="180"/>
      </w:pPr>
      <w:rPr>
        <w:rFonts w:cs="Times New Roman"/>
      </w:rPr>
    </w:lvl>
    <w:lvl w:ilvl="3" w:tplc="F21CA288">
      <w:start w:val="1"/>
      <w:numFmt w:val="decimal"/>
      <w:lvlText w:val="%4."/>
      <w:lvlJc w:val="left"/>
      <w:pPr>
        <w:tabs>
          <w:tab w:val="num" w:pos="2880"/>
        </w:tabs>
        <w:ind w:left="2880" w:hanging="360"/>
      </w:pPr>
      <w:rPr>
        <w:rFonts w:cs="Times New Roman"/>
      </w:rPr>
    </w:lvl>
    <w:lvl w:ilvl="4" w:tplc="A784F5A2">
      <w:start w:val="1"/>
      <w:numFmt w:val="lowerLetter"/>
      <w:lvlText w:val="%5."/>
      <w:lvlJc w:val="left"/>
      <w:pPr>
        <w:tabs>
          <w:tab w:val="num" w:pos="3600"/>
        </w:tabs>
        <w:ind w:left="3600" w:hanging="360"/>
      </w:pPr>
      <w:rPr>
        <w:rFonts w:cs="Times New Roman"/>
      </w:rPr>
    </w:lvl>
    <w:lvl w:ilvl="5" w:tplc="E454EBB2">
      <w:start w:val="1"/>
      <w:numFmt w:val="lowerRoman"/>
      <w:lvlText w:val="%6."/>
      <w:lvlJc w:val="right"/>
      <w:pPr>
        <w:tabs>
          <w:tab w:val="num" w:pos="4320"/>
        </w:tabs>
        <w:ind w:left="4320" w:hanging="180"/>
      </w:pPr>
      <w:rPr>
        <w:rFonts w:cs="Times New Roman"/>
      </w:rPr>
    </w:lvl>
    <w:lvl w:ilvl="6" w:tplc="B36CA534">
      <w:start w:val="1"/>
      <w:numFmt w:val="decimal"/>
      <w:lvlText w:val="%7."/>
      <w:lvlJc w:val="left"/>
      <w:pPr>
        <w:tabs>
          <w:tab w:val="num" w:pos="5040"/>
        </w:tabs>
        <w:ind w:left="5040" w:hanging="360"/>
      </w:pPr>
      <w:rPr>
        <w:rFonts w:cs="Times New Roman"/>
      </w:rPr>
    </w:lvl>
    <w:lvl w:ilvl="7" w:tplc="69346BE4">
      <w:start w:val="1"/>
      <w:numFmt w:val="lowerLetter"/>
      <w:lvlText w:val="%8."/>
      <w:lvlJc w:val="left"/>
      <w:pPr>
        <w:tabs>
          <w:tab w:val="num" w:pos="5760"/>
        </w:tabs>
        <w:ind w:left="5760" w:hanging="360"/>
      </w:pPr>
      <w:rPr>
        <w:rFonts w:cs="Times New Roman"/>
      </w:rPr>
    </w:lvl>
    <w:lvl w:ilvl="8" w:tplc="9C341142">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1FE3"/>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5380"/>
    <w:rsid w:val="001C4003"/>
    <w:rsid w:val="001D4DBF"/>
    <w:rsid w:val="001E75CA"/>
    <w:rsid w:val="002265FF"/>
    <w:rsid w:val="00227909"/>
    <w:rsid w:val="00242DE9"/>
    <w:rsid w:val="00263083"/>
    <w:rsid w:val="00271B56"/>
    <w:rsid w:val="00272E32"/>
    <w:rsid w:val="00293921"/>
    <w:rsid w:val="002C344E"/>
    <w:rsid w:val="002E75E9"/>
    <w:rsid w:val="002F0B1E"/>
    <w:rsid w:val="00307A6A"/>
    <w:rsid w:val="00307C40"/>
    <w:rsid w:val="00320433"/>
    <w:rsid w:val="003230C7"/>
    <w:rsid w:val="00327E50"/>
    <w:rsid w:val="003336C9"/>
    <w:rsid w:val="0033597A"/>
    <w:rsid w:val="003410E3"/>
    <w:rsid w:val="00343D89"/>
    <w:rsid w:val="00362612"/>
    <w:rsid w:val="0036430E"/>
    <w:rsid w:val="0036743F"/>
    <w:rsid w:val="003715DD"/>
    <w:rsid w:val="003823E0"/>
    <w:rsid w:val="003A4521"/>
    <w:rsid w:val="003D1C8C"/>
    <w:rsid w:val="003E38C7"/>
    <w:rsid w:val="0040096C"/>
    <w:rsid w:val="00414F1F"/>
    <w:rsid w:val="004201C5"/>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0580"/>
    <w:rsid w:val="00534284"/>
    <w:rsid w:val="00547DB7"/>
    <w:rsid w:val="00557717"/>
    <w:rsid w:val="00576A86"/>
    <w:rsid w:val="005E5255"/>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3737"/>
    <w:rsid w:val="00785E6D"/>
    <w:rsid w:val="00795365"/>
    <w:rsid w:val="007A1D84"/>
    <w:rsid w:val="007A351D"/>
    <w:rsid w:val="007B4928"/>
    <w:rsid w:val="007B7765"/>
    <w:rsid w:val="007C2453"/>
    <w:rsid w:val="007C5BDD"/>
    <w:rsid w:val="007D45E3"/>
    <w:rsid w:val="007E6115"/>
    <w:rsid w:val="007F4609"/>
    <w:rsid w:val="007F5B6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3258"/>
    <w:rsid w:val="00903896"/>
    <w:rsid w:val="00906F3D"/>
    <w:rsid w:val="0094424E"/>
    <w:rsid w:val="00955642"/>
    <w:rsid w:val="009622DF"/>
    <w:rsid w:val="0096493F"/>
    <w:rsid w:val="00967DFF"/>
    <w:rsid w:val="00994341"/>
    <w:rsid w:val="009B55C9"/>
    <w:rsid w:val="009D1A48"/>
    <w:rsid w:val="009E1CE7"/>
    <w:rsid w:val="009E461A"/>
    <w:rsid w:val="009E4EA5"/>
    <w:rsid w:val="009F164B"/>
    <w:rsid w:val="009F323C"/>
    <w:rsid w:val="00A3392B"/>
    <w:rsid w:val="00A41351"/>
    <w:rsid w:val="00A41DC7"/>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009A"/>
    <w:rsid w:val="00B229AD"/>
    <w:rsid w:val="00B436A7"/>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5F0"/>
    <w:rsid w:val="00C23AC9"/>
    <w:rsid w:val="00C31120"/>
    <w:rsid w:val="00C34482"/>
    <w:rsid w:val="00C43648"/>
    <w:rsid w:val="00C50A9F"/>
    <w:rsid w:val="00C642FA"/>
    <w:rsid w:val="00C770E3"/>
    <w:rsid w:val="00CC7622"/>
    <w:rsid w:val="00CD2AA1"/>
    <w:rsid w:val="00CD608F"/>
    <w:rsid w:val="00CF6BB7"/>
    <w:rsid w:val="00D04AA4"/>
    <w:rsid w:val="00D1241A"/>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711F"/>
    <w:rsid w:val="00E5426A"/>
    <w:rsid w:val="00E54642"/>
    <w:rsid w:val="00E80CBE"/>
    <w:rsid w:val="00E86ADC"/>
    <w:rsid w:val="00E9269D"/>
    <w:rsid w:val="00E962E3"/>
    <w:rsid w:val="00EB6C79"/>
    <w:rsid w:val="00EC37E9"/>
    <w:rsid w:val="00F038D8"/>
    <w:rsid w:val="00F06995"/>
    <w:rsid w:val="00F12D66"/>
    <w:rsid w:val="00F13623"/>
    <w:rsid w:val="00F37D02"/>
    <w:rsid w:val="00F41B08"/>
    <w:rsid w:val="00F44D1D"/>
    <w:rsid w:val="00F83841"/>
    <w:rsid w:val="00F84B6D"/>
    <w:rsid w:val="00F957E8"/>
    <w:rsid w:val="00FA311A"/>
    <w:rsid w:val="00FA5FDA"/>
    <w:rsid w:val="00FB6AB3"/>
    <w:rsid w:val="00FC799C"/>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customStyle="1" w:styleId="a">
    <w:name w:val="מספור"/>
    <w:basedOn w:val="a0"/>
    <w:uiPriority w:val="99"/>
    <w:rsid w:val="009B55C9"/>
    <w:pPr>
      <w:widowControl w:val="0"/>
      <w:numPr>
        <w:numId w:val="1"/>
      </w:numPr>
      <w:spacing w:after="240" w:line="360" w:lineRule="auto"/>
      <w:ind w:right="728"/>
      <w:jc w:val="both"/>
    </w:pPr>
    <w:rPr>
      <w:noProof w:val="0"/>
      <w:spacing w:val="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14787">
      <w:bodyDiv w:val="1"/>
      <w:marLeft w:val="0"/>
      <w:marRight w:val="0"/>
      <w:marTop w:val="0"/>
      <w:marBottom w:val="0"/>
      <w:divBdr>
        <w:top w:val="none" w:sz="0" w:space="0" w:color="auto"/>
        <w:left w:val="none" w:sz="0" w:space="0" w:color="auto"/>
        <w:bottom w:val="none" w:sz="0" w:space="0" w:color="auto"/>
        <w:right w:val="none" w:sz="0" w:space="0" w:color="auto"/>
      </w:divBdr>
    </w:div>
    <w:div w:id="104753110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6668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519D8" w:rsidP="00A519D8">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
      <w:docPartPr>
        <w:name w:val="602206D220E54017ABC4B356BDEEF220"/>
        <w:category>
          <w:name w:val="כללי"/>
          <w:gallery w:val="placeholder"/>
        </w:category>
        <w:types>
          <w:type w:val="bbPlcHdr"/>
        </w:types>
        <w:behaviors>
          <w:behavior w:val="content"/>
        </w:behaviors>
        <w:guid w:val="{9CEDC8C2-C4D4-4664-B2E8-518149E6B8F7}"/>
      </w:docPartPr>
      <w:docPartBody>
        <w:p w:rsidR="00B640AC" w:rsidRDefault="00A519D8" w:rsidP="00A519D8">
          <w:pPr>
            <w:pStyle w:val="602206D220E54017ABC4B356BDEEF220"/>
          </w:pPr>
          <w:r>
            <w:rPr>
              <w:rFonts w:ascii="Arial" w:hAnsi="Arial"/>
              <w:b/>
              <w:bCs/>
              <w:sz w:val="26"/>
              <w:szCs w:val="26"/>
              <w:rtl/>
            </w:rPr>
            <w:t>שם צד א' ללא שם של חסוי</w:t>
          </w:r>
        </w:p>
      </w:docPartBody>
    </w:docPart>
    <w:docPart>
      <w:docPartPr>
        <w:name w:val="F3BC004CA9EA4549BAB140912D05386A"/>
        <w:category>
          <w:name w:val="כללי"/>
          <w:gallery w:val="placeholder"/>
        </w:category>
        <w:types>
          <w:type w:val="bbPlcHdr"/>
        </w:types>
        <w:behaviors>
          <w:behavior w:val="content"/>
        </w:behaviors>
        <w:guid w:val="{C85BC5FB-C4B1-4B7D-8872-F520610CCD96}"/>
      </w:docPartPr>
      <w:docPartBody>
        <w:p w:rsidR="00B640AC" w:rsidRDefault="00A519D8" w:rsidP="00A519D8">
          <w:pPr>
            <w:pStyle w:val="F3BC004CA9EA4549BAB140912D05386A"/>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9D8"/>
    <w:rsid w:val="00A51CA1"/>
    <w:rsid w:val="00A96B82"/>
    <w:rsid w:val="00AA7CE3"/>
    <w:rsid w:val="00AD53D7"/>
    <w:rsid w:val="00B50DB2"/>
    <w:rsid w:val="00B640AC"/>
    <w:rsid w:val="00B91FA3"/>
    <w:rsid w:val="00BE6557"/>
    <w:rsid w:val="00C96C06"/>
    <w:rsid w:val="00CE1DCB"/>
    <w:rsid w:val="00D24521"/>
    <w:rsid w:val="00E31BF6"/>
    <w:rsid w:val="00E81DB1"/>
    <w:rsid w:val="00F00DF8"/>
    <w:rsid w:val="00F04DC1"/>
    <w:rsid w:val="00F47E43"/>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519D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519D8"/>
    <w:pPr>
      <w:bidi/>
      <w:spacing w:after="0" w:line="240" w:lineRule="auto"/>
    </w:pPr>
    <w:rPr>
      <w:rFonts w:ascii="Times New Roman" w:eastAsia="Times New Roman" w:hAnsi="Times New Roman" w:cs="David"/>
      <w:noProof/>
      <w:sz w:val="24"/>
      <w:szCs w:val="24"/>
    </w:rPr>
  </w:style>
  <w:style w:type="paragraph" w:customStyle="1" w:styleId="602206D220E54017ABC4B356BDEEF220">
    <w:name w:val="602206D220E54017ABC4B356BDEEF220"/>
    <w:rsid w:val="00A519D8"/>
    <w:pPr>
      <w:bidi/>
      <w:spacing w:after="160" w:line="259" w:lineRule="auto"/>
    </w:pPr>
  </w:style>
  <w:style w:type="paragraph" w:customStyle="1" w:styleId="F3BC004CA9EA4549BAB140912D05386A">
    <w:name w:val="F3BC004CA9EA4549BAB140912D05386A"/>
    <w:rsid w:val="00A519D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1665</Words>
  <Characters>8328</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2023-07-13T11:39:00Z</dcterms:created>
  <dcterms:modified xsi:type="dcterms:W3CDTF">2023-07-13T11:39:00Z</dcterms:modified>
</cp:coreProperties>
</file>